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05F3" w14:textId="435BC835" w:rsidR="00761C90" w:rsidRPr="00200CC1" w:rsidRDefault="00761C90" w:rsidP="001D31F7">
      <w:pPr>
        <w:spacing w:after="0" w:line="240" w:lineRule="auto"/>
        <w:rPr>
          <w:rFonts w:ascii="Calibri" w:hAnsi="Calibri" w:cs="Calibri"/>
          <w:sz w:val="24"/>
          <w:szCs w:val="24"/>
        </w:rPr>
      </w:pPr>
    </w:p>
    <w:p w14:paraId="67DF55B6" w14:textId="40F92A5F" w:rsidR="00D9413C" w:rsidRPr="00D306B2" w:rsidRDefault="00056B35" w:rsidP="001D31F7">
      <w:pPr>
        <w:spacing w:after="0" w:line="240" w:lineRule="auto"/>
        <w:jc w:val="center"/>
        <w:rPr>
          <w:rFonts w:ascii="Calibri" w:hAnsi="Calibri" w:cs="Calibri"/>
          <w:b/>
          <w:bCs/>
          <w:sz w:val="32"/>
          <w:szCs w:val="32"/>
        </w:rPr>
      </w:pPr>
      <w:r w:rsidRPr="00D306B2">
        <w:rPr>
          <w:rFonts w:ascii="Calibri" w:hAnsi="Calibri" w:cs="Calibri"/>
          <w:b/>
          <w:bCs/>
          <w:sz w:val="32"/>
          <w:szCs w:val="32"/>
        </w:rPr>
        <w:t>MERCADO LABORAL</w:t>
      </w:r>
    </w:p>
    <w:p w14:paraId="7849F444" w14:textId="768D55EA" w:rsidR="00056B35" w:rsidRPr="00D306B2" w:rsidRDefault="00056B35" w:rsidP="001D31F7">
      <w:pPr>
        <w:spacing w:after="0" w:line="240" w:lineRule="auto"/>
        <w:jc w:val="center"/>
        <w:rPr>
          <w:rFonts w:ascii="Calibri" w:hAnsi="Calibri" w:cs="Calibri"/>
          <w:b/>
          <w:bCs/>
          <w:sz w:val="28"/>
          <w:szCs w:val="28"/>
        </w:rPr>
      </w:pPr>
      <w:r w:rsidRPr="00D306B2">
        <w:rPr>
          <w:rFonts w:ascii="Calibri" w:hAnsi="Calibri" w:cs="Calibri"/>
          <w:b/>
          <w:bCs/>
          <w:sz w:val="28"/>
          <w:szCs w:val="28"/>
        </w:rPr>
        <w:t>CAUCA 2020 - 2024</w:t>
      </w:r>
    </w:p>
    <w:p w14:paraId="45B008B6" w14:textId="77777777" w:rsidR="00D9413C" w:rsidRDefault="00D9413C" w:rsidP="001D31F7">
      <w:pPr>
        <w:spacing w:after="0" w:line="240" w:lineRule="auto"/>
        <w:rPr>
          <w:rFonts w:ascii="Calibri" w:hAnsi="Calibri" w:cs="Calibri"/>
          <w:sz w:val="24"/>
          <w:szCs w:val="24"/>
        </w:rPr>
      </w:pPr>
    </w:p>
    <w:p w14:paraId="0B0096FB" w14:textId="77777777" w:rsidR="00E64DB5" w:rsidRDefault="00E64DB5" w:rsidP="001D31F7">
      <w:pPr>
        <w:spacing w:after="0" w:line="240" w:lineRule="auto"/>
        <w:rPr>
          <w:rFonts w:ascii="Calibri" w:hAnsi="Calibri" w:cs="Calibri"/>
          <w:sz w:val="24"/>
          <w:szCs w:val="24"/>
        </w:rPr>
      </w:pPr>
    </w:p>
    <w:p w14:paraId="6FA0C527" w14:textId="70C3BC22" w:rsidR="00E64DB5" w:rsidRDefault="00E64DB5" w:rsidP="001D31F7">
      <w:pPr>
        <w:spacing w:after="0" w:line="240" w:lineRule="auto"/>
        <w:rPr>
          <w:rFonts w:ascii="Calibri" w:hAnsi="Calibri" w:cs="Calibri"/>
          <w:sz w:val="24"/>
          <w:szCs w:val="24"/>
        </w:rPr>
      </w:pPr>
      <w:r w:rsidRPr="001109C8">
        <w:rPr>
          <w:rFonts w:ascii="Calibri" w:hAnsi="Calibri" w:cs="Calibri"/>
          <w:b/>
          <w:bCs/>
          <w:sz w:val="24"/>
          <w:szCs w:val="24"/>
        </w:rPr>
        <w:t>Contenido</w:t>
      </w:r>
      <w:r>
        <w:rPr>
          <w:rFonts w:ascii="Calibri" w:hAnsi="Calibri" w:cs="Calibri"/>
          <w:sz w:val="24"/>
          <w:szCs w:val="24"/>
        </w:rPr>
        <w:t>:</w:t>
      </w:r>
    </w:p>
    <w:p w14:paraId="708004BD" w14:textId="77777777" w:rsidR="00E64DB5" w:rsidRDefault="00E64DB5" w:rsidP="001D31F7">
      <w:pPr>
        <w:spacing w:after="0" w:line="240" w:lineRule="auto"/>
        <w:rPr>
          <w:rFonts w:ascii="Calibri" w:hAnsi="Calibri" w:cs="Calibri"/>
          <w:sz w:val="24"/>
          <w:szCs w:val="24"/>
        </w:rPr>
      </w:pPr>
    </w:p>
    <w:p w14:paraId="6FB6F3E3" w14:textId="55641326" w:rsidR="00E64DB5" w:rsidRPr="006E2C23" w:rsidRDefault="00E64DB5" w:rsidP="001D31F7">
      <w:pPr>
        <w:pStyle w:val="Prrafodelista"/>
        <w:spacing w:after="0"/>
        <w:ind w:left="720"/>
        <w:rPr>
          <w:rFonts w:ascii="Calibri" w:hAnsi="Calibri" w:cs="Calibri"/>
          <w:b w:val="0"/>
          <w:bCs/>
        </w:rPr>
      </w:pPr>
      <w:r w:rsidRPr="006E2C23">
        <w:rPr>
          <w:rFonts w:ascii="Calibri" w:hAnsi="Calibri" w:cs="Calibri"/>
          <w:b w:val="0"/>
          <w:bCs/>
        </w:rPr>
        <w:t>Introducción</w:t>
      </w:r>
    </w:p>
    <w:p w14:paraId="186490B7" w14:textId="00E06E7D" w:rsidR="00E64DB5" w:rsidRDefault="00D62747" w:rsidP="001D31F7">
      <w:pPr>
        <w:pStyle w:val="Prrafodelista"/>
        <w:numPr>
          <w:ilvl w:val="0"/>
          <w:numId w:val="4"/>
        </w:numPr>
        <w:spacing w:after="0"/>
        <w:rPr>
          <w:rFonts w:ascii="Calibri" w:hAnsi="Calibri" w:cs="Calibri"/>
          <w:b w:val="0"/>
          <w:bCs/>
        </w:rPr>
      </w:pPr>
      <w:r>
        <w:rPr>
          <w:rFonts w:ascii="Calibri" w:hAnsi="Calibri" w:cs="Calibri"/>
          <w:b w:val="0"/>
          <w:bCs/>
        </w:rPr>
        <w:t>Empleo y desocupación</w:t>
      </w:r>
      <w:r w:rsidR="001E6290">
        <w:rPr>
          <w:rFonts w:ascii="Calibri" w:hAnsi="Calibri" w:cs="Calibri"/>
          <w:b w:val="0"/>
          <w:bCs/>
        </w:rPr>
        <w:t xml:space="preserve"> en el Cauca</w:t>
      </w:r>
    </w:p>
    <w:p w14:paraId="480718CA" w14:textId="03385B96" w:rsidR="001230ED" w:rsidRDefault="001230ED" w:rsidP="001230ED">
      <w:pPr>
        <w:pStyle w:val="Prrafodelista"/>
        <w:numPr>
          <w:ilvl w:val="1"/>
          <w:numId w:val="4"/>
        </w:numPr>
        <w:spacing w:after="0"/>
        <w:rPr>
          <w:rFonts w:ascii="Calibri" w:hAnsi="Calibri" w:cs="Calibri"/>
          <w:b w:val="0"/>
          <w:bCs/>
        </w:rPr>
      </w:pPr>
      <w:r w:rsidRPr="001230ED">
        <w:rPr>
          <w:rFonts w:ascii="Calibri" w:hAnsi="Calibri" w:cs="Calibri"/>
          <w:b w:val="0"/>
          <w:bCs/>
        </w:rPr>
        <w:t>Principales indicadores de mercado laboral en el Cauca</w:t>
      </w:r>
    </w:p>
    <w:p w14:paraId="31757C90" w14:textId="56A013F2" w:rsidR="001230ED" w:rsidRDefault="001230ED" w:rsidP="001230ED">
      <w:pPr>
        <w:pStyle w:val="Prrafodelista"/>
        <w:numPr>
          <w:ilvl w:val="1"/>
          <w:numId w:val="4"/>
        </w:numPr>
        <w:spacing w:after="0"/>
        <w:rPr>
          <w:rFonts w:ascii="Calibri" w:hAnsi="Calibri" w:cs="Calibri"/>
          <w:b w:val="0"/>
          <w:bCs/>
        </w:rPr>
      </w:pPr>
      <w:r w:rsidRPr="001230ED">
        <w:rPr>
          <w:rFonts w:ascii="Calibri" w:hAnsi="Calibri" w:cs="Calibri"/>
          <w:b w:val="0"/>
          <w:bCs/>
        </w:rPr>
        <w:t>Tasa de ocupación (</w:t>
      </w:r>
      <w:proofErr w:type="spellStart"/>
      <w:r w:rsidRPr="001230ED">
        <w:rPr>
          <w:rFonts w:ascii="Calibri" w:hAnsi="Calibri" w:cs="Calibri"/>
          <w:b w:val="0"/>
          <w:bCs/>
        </w:rPr>
        <w:t>TO</w:t>
      </w:r>
      <w:proofErr w:type="spellEnd"/>
      <w:r w:rsidRPr="001230ED">
        <w:rPr>
          <w:rFonts w:ascii="Calibri" w:hAnsi="Calibri" w:cs="Calibri"/>
          <w:b w:val="0"/>
          <w:bCs/>
        </w:rPr>
        <w:t>) y Tasa de desocupación (</w:t>
      </w:r>
      <w:proofErr w:type="spellStart"/>
      <w:r w:rsidRPr="001230ED">
        <w:rPr>
          <w:rFonts w:ascii="Calibri" w:hAnsi="Calibri" w:cs="Calibri"/>
          <w:b w:val="0"/>
          <w:bCs/>
        </w:rPr>
        <w:t>TD</w:t>
      </w:r>
      <w:proofErr w:type="spellEnd"/>
      <w:r w:rsidRPr="001230ED">
        <w:rPr>
          <w:rFonts w:ascii="Calibri" w:hAnsi="Calibri" w:cs="Calibri"/>
          <w:b w:val="0"/>
          <w:bCs/>
        </w:rPr>
        <w:t>), según sexo</w:t>
      </w:r>
    </w:p>
    <w:p w14:paraId="294F4062" w14:textId="6FA00DF5" w:rsidR="001230ED" w:rsidRDefault="001230ED" w:rsidP="001230ED">
      <w:pPr>
        <w:pStyle w:val="Prrafodelista"/>
        <w:numPr>
          <w:ilvl w:val="1"/>
          <w:numId w:val="4"/>
        </w:numPr>
        <w:spacing w:after="0"/>
        <w:rPr>
          <w:rFonts w:ascii="Calibri" w:hAnsi="Calibri" w:cs="Calibri"/>
          <w:b w:val="0"/>
          <w:bCs/>
        </w:rPr>
      </w:pPr>
      <w:r w:rsidRPr="001230ED">
        <w:rPr>
          <w:rFonts w:ascii="Calibri" w:hAnsi="Calibri" w:cs="Calibri"/>
          <w:b w:val="0"/>
          <w:bCs/>
        </w:rPr>
        <w:t>Tasa de ocupación (</w:t>
      </w:r>
      <w:proofErr w:type="spellStart"/>
      <w:r w:rsidRPr="001230ED">
        <w:rPr>
          <w:rFonts w:ascii="Calibri" w:hAnsi="Calibri" w:cs="Calibri"/>
          <w:b w:val="0"/>
          <w:bCs/>
        </w:rPr>
        <w:t>TO</w:t>
      </w:r>
      <w:proofErr w:type="spellEnd"/>
      <w:r w:rsidRPr="001230ED">
        <w:rPr>
          <w:rFonts w:ascii="Calibri" w:hAnsi="Calibri" w:cs="Calibri"/>
          <w:b w:val="0"/>
          <w:bCs/>
        </w:rPr>
        <w:t>) y Tasa de desocupación (</w:t>
      </w:r>
      <w:proofErr w:type="spellStart"/>
      <w:r w:rsidRPr="001230ED">
        <w:rPr>
          <w:rFonts w:ascii="Calibri" w:hAnsi="Calibri" w:cs="Calibri"/>
          <w:b w:val="0"/>
          <w:bCs/>
        </w:rPr>
        <w:t>TD</w:t>
      </w:r>
      <w:proofErr w:type="spellEnd"/>
      <w:r w:rsidRPr="001230ED">
        <w:rPr>
          <w:rFonts w:ascii="Calibri" w:hAnsi="Calibri" w:cs="Calibri"/>
          <w:b w:val="0"/>
          <w:bCs/>
        </w:rPr>
        <w:t>), según área geográfica</w:t>
      </w:r>
    </w:p>
    <w:p w14:paraId="5B9D74F0" w14:textId="4C2F5139" w:rsidR="001230ED" w:rsidRPr="006E2C23" w:rsidRDefault="002255AB" w:rsidP="001230ED">
      <w:pPr>
        <w:pStyle w:val="Prrafodelista"/>
        <w:numPr>
          <w:ilvl w:val="1"/>
          <w:numId w:val="4"/>
        </w:numPr>
        <w:spacing w:after="0"/>
        <w:rPr>
          <w:rFonts w:ascii="Calibri" w:hAnsi="Calibri" w:cs="Calibri"/>
          <w:b w:val="0"/>
          <w:bCs/>
        </w:rPr>
      </w:pPr>
      <w:r>
        <w:rPr>
          <w:rFonts w:ascii="Calibri" w:hAnsi="Calibri" w:cs="Calibri"/>
          <w:b w:val="0"/>
          <w:bCs/>
        </w:rPr>
        <w:t>Número de personas ocupadas</w:t>
      </w:r>
      <w:r w:rsidR="001230ED" w:rsidRPr="001230ED">
        <w:rPr>
          <w:rFonts w:ascii="Calibri" w:hAnsi="Calibri" w:cs="Calibri"/>
          <w:b w:val="0"/>
          <w:bCs/>
        </w:rPr>
        <w:t>, según actividad económica</w:t>
      </w:r>
    </w:p>
    <w:p w14:paraId="0E60FE88" w14:textId="2478E760" w:rsidR="00E64DB5" w:rsidRPr="006E2C23" w:rsidRDefault="001E6290" w:rsidP="001D31F7">
      <w:pPr>
        <w:pStyle w:val="Prrafodelista"/>
        <w:numPr>
          <w:ilvl w:val="0"/>
          <w:numId w:val="4"/>
        </w:numPr>
        <w:spacing w:after="0"/>
        <w:rPr>
          <w:rFonts w:ascii="Calibri" w:hAnsi="Calibri" w:cs="Calibri"/>
          <w:b w:val="0"/>
          <w:bCs/>
        </w:rPr>
      </w:pPr>
      <w:r>
        <w:rPr>
          <w:rFonts w:ascii="Calibri" w:hAnsi="Calibri" w:cs="Calibri"/>
          <w:b w:val="0"/>
          <w:bCs/>
        </w:rPr>
        <w:t xml:space="preserve">Empleo y desocupación </w:t>
      </w:r>
      <w:r w:rsidR="00D549AE">
        <w:rPr>
          <w:rFonts w:ascii="Calibri" w:hAnsi="Calibri" w:cs="Calibri"/>
          <w:b w:val="0"/>
          <w:bCs/>
        </w:rPr>
        <w:t>total nacional, región Pacífica y Cauca</w:t>
      </w:r>
    </w:p>
    <w:p w14:paraId="48C20F44" w14:textId="6DE230E7" w:rsidR="00E64DB5" w:rsidRPr="006E2C23" w:rsidRDefault="00E64DB5" w:rsidP="001D31F7">
      <w:pPr>
        <w:pStyle w:val="Prrafodelista"/>
        <w:numPr>
          <w:ilvl w:val="0"/>
          <w:numId w:val="4"/>
        </w:numPr>
        <w:spacing w:after="0"/>
        <w:rPr>
          <w:rFonts w:ascii="Calibri" w:hAnsi="Calibri" w:cs="Calibri"/>
          <w:b w:val="0"/>
          <w:bCs/>
        </w:rPr>
      </w:pPr>
      <w:r w:rsidRPr="006E2C23">
        <w:rPr>
          <w:rFonts w:ascii="Calibri" w:hAnsi="Calibri" w:cs="Calibri"/>
          <w:b w:val="0"/>
          <w:bCs/>
        </w:rPr>
        <w:t>Glosario</w:t>
      </w:r>
    </w:p>
    <w:p w14:paraId="1C530845" w14:textId="77777777" w:rsidR="00E64DB5" w:rsidRPr="00200CC1" w:rsidRDefault="00E64DB5" w:rsidP="001D31F7">
      <w:pPr>
        <w:spacing w:after="0" w:line="240" w:lineRule="auto"/>
        <w:rPr>
          <w:rFonts w:ascii="Calibri" w:hAnsi="Calibri" w:cs="Calibri"/>
          <w:sz w:val="24"/>
          <w:szCs w:val="24"/>
        </w:rPr>
      </w:pPr>
    </w:p>
    <w:p w14:paraId="11C51BF5" w14:textId="77777777" w:rsidR="00D9413C" w:rsidRPr="00200CC1" w:rsidRDefault="00D9413C" w:rsidP="001D31F7">
      <w:pPr>
        <w:spacing w:after="0" w:line="240" w:lineRule="auto"/>
        <w:rPr>
          <w:rFonts w:ascii="Calibri" w:hAnsi="Calibri" w:cs="Calibri"/>
          <w:sz w:val="24"/>
          <w:szCs w:val="24"/>
        </w:rPr>
      </w:pPr>
    </w:p>
    <w:p w14:paraId="6FD6EB19" w14:textId="43E0EED9" w:rsidR="00056B35" w:rsidRPr="00200CC1" w:rsidRDefault="00056B35" w:rsidP="001D31F7">
      <w:pPr>
        <w:spacing w:after="0" w:line="240" w:lineRule="auto"/>
        <w:rPr>
          <w:rFonts w:ascii="Calibri" w:hAnsi="Calibri" w:cs="Calibri"/>
          <w:b/>
          <w:bCs/>
          <w:sz w:val="24"/>
          <w:szCs w:val="24"/>
        </w:rPr>
      </w:pPr>
      <w:r w:rsidRPr="00200CC1">
        <w:rPr>
          <w:rFonts w:ascii="Calibri" w:hAnsi="Calibri" w:cs="Calibri"/>
          <w:b/>
          <w:bCs/>
          <w:sz w:val="24"/>
          <w:szCs w:val="24"/>
        </w:rPr>
        <w:t>INTRODUCCIÓN</w:t>
      </w:r>
    </w:p>
    <w:p w14:paraId="3A240687" w14:textId="77777777" w:rsidR="00056B35" w:rsidRPr="00200CC1" w:rsidRDefault="00056B35" w:rsidP="001D31F7">
      <w:pPr>
        <w:spacing w:after="0" w:line="240" w:lineRule="auto"/>
        <w:rPr>
          <w:rFonts w:ascii="Calibri" w:hAnsi="Calibri" w:cs="Calibri"/>
          <w:sz w:val="24"/>
          <w:szCs w:val="24"/>
        </w:rPr>
      </w:pPr>
    </w:p>
    <w:p w14:paraId="7C08A0C9" w14:textId="6AF9FBBA" w:rsidR="00200CC1" w:rsidRPr="00200CC1" w:rsidRDefault="00200CC1" w:rsidP="001D31F7">
      <w:pPr>
        <w:spacing w:after="0" w:line="240" w:lineRule="auto"/>
        <w:jc w:val="both"/>
        <w:rPr>
          <w:rFonts w:ascii="Calibri" w:hAnsi="Calibri" w:cs="Calibri"/>
          <w:sz w:val="24"/>
          <w:szCs w:val="24"/>
        </w:rPr>
      </w:pPr>
      <w:r w:rsidRPr="00200CC1">
        <w:rPr>
          <w:rFonts w:ascii="Calibri" w:hAnsi="Calibri" w:cs="Calibri"/>
          <w:sz w:val="24"/>
          <w:szCs w:val="24"/>
        </w:rPr>
        <w:t xml:space="preserve">El mercado laboral constituye uno de los principales indicadores </w:t>
      </w:r>
      <w:r w:rsidR="001A2B1C">
        <w:rPr>
          <w:rFonts w:ascii="Calibri" w:hAnsi="Calibri" w:cs="Calibri"/>
          <w:sz w:val="24"/>
          <w:szCs w:val="24"/>
        </w:rPr>
        <w:t xml:space="preserve">de los entornos </w:t>
      </w:r>
      <w:r w:rsidRPr="00200CC1">
        <w:rPr>
          <w:rFonts w:ascii="Calibri" w:hAnsi="Calibri" w:cs="Calibri"/>
          <w:sz w:val="24"/>
          <w:szCs w:val="24"/>
        </w:rPr>
        <w:t>económico y social de un territorio, ya que refleja la dinámica entre la oferta y la demanda de trabajo, así como las condiciones de empleo y desocupación de la población en edad de trabajar. En Colombia, el Departamento Administrativo Nacional de Estadística (DANE) se encarga de recolectar, analizar y divulgar la información relacionada con el mercado laboral a través de la Gran Encuesta Integrada de Hogares (</w:t>
      </w:r>
      <w:proofErr w:type="spellStart"/>
      <w:r w:rsidRPr="00200CC1">
        <w:rPr>
          <w:rFonts w:ascii="Calibri" w:hAnsi="Calibri" w:cs="Calibri"/>
          <w:sz w:val="24"/>
          <w:szCs w:val="24"/>
        </w:rPr>
        <w:t>GEIH</w:t>
      </w:r>
      <w:proofErr w:type="spellEnd"/>
      <w:r w:rsidRPr="00200CC1">
        <w:rPr>
          <w:rFonts w:ascii="Calibri" w:hAnsi="Calibri" w:cs="Calibri"/>
          <w:sz w:val="24"/>
          <w:szCs w:val="24"/>
        </w:rPr>
        <w:t xml:space="preserve">), permitiendo un seguimiento de su comportamiento en </w:t>
      </w:r>
      <w:r w:rsidR="0045237A">
        <w:rPr>
          <w:rFonts w:ascii="Calibri" w:hAnsi="Calibri" w:cs="Calibri"/>
          <w:sz w:val="24"/>
          <w:szCs w:val="24"/>
        </w:rPr>
        <w:t>23</w:t>
      </w:r>
      <w:r w:rsidRPr="00200CC1">
        <w:rPr>
          <w:rFonts w:ascii="Calibri" w:hAnsi="Calibri" w:cs="Calibri"/>
          <w:sz w:val="24"/>
          <w:szCs w:val="24"/>
        </w:rPr>
        <w:t xml:space="preserve"> departamentos del país.</w:t>
      </w:r>
    </w:p>
    <w:p w14:paraId="720D37BA" w14:textId="77777777" w:rsidR="00200CC1" w:rsidRPr="00200CC1" w:rsidRDefault="00200CC1" w:rsidP="001D31F7">
      <w:pPr>
        <w:spacing w:after="0" w:line="240" w:lineRule="auto"/>
        <w:jc w:val="both"/>
        <w:rPr>
          <w:rFonts w:ascii="Calibri" w:hAnsi="Calibri" w:cs="Calibri"/>
          <w:sz w:val="24"/>
          <w:szCs w:val="24"/>
        </w:rPr>
      </w:pPr>
    </w:p>
    <w:p w14:paraId="001FCC64" w14:textId="35DB3302" w:rsidR="00200CC1" w:rsidRPr="00200CC1" w:rsidRDefault="00B530FD" w:rsidP="001D31F7">
      <w:pPr>
        <w:spacing w:after="0" w:line="240" w:lineRule="auto"/>
        <w:jc w:val="both"/>
        <w:rPr>
          <w:rFonts w:ascii="Calibri" w:hAnsi="Calibri" w:cs="Calibri"/>
          <w:sz w:val="24"/>
          <w:szCs w:val="24"/>
        </w:rPr>
      </w:pPr>
      <w:r>
        <w:rPr>
          <w:rFonts w:ascii="Calibri" w:hAnsi="Calibri" w:cs="Calibri"/>
          <w:sz w:val="24"/>
          <w:szCs w:val="24"/>
        </w:rPr>
        <w:t>El presente</w:t>
      </w:r>
      <w:r w:rsidR="00200CC1" w:rsidRPr="00200CC1">
        <w:rPr>
          <w:rFonts w:ascii="Calibri" w:hAnsi="Calibri" w:cs="Calibri"/>
          <w:sz w:val="24"/>
          <w:szCs w:val="24"/>
        </w:rPr>
        <w:t xml:space="preserve"> boletín presenta un análisis del mercado laboral en el departamento del Cauca durante el periodo comprendido entre los años 2020 y 2024. Se </w:t>
      </w:r>
      <w:r w:rsidR="00950C7B">
        <w:rPr>
          <w:rFonts w:ascii="Calibri" w:hAnsi="Calibri" w:cs="Calibri"/>
          <w:sz w:val="24"/>
          <w:szCs w:val="24"/>
        </w:rPr>
        <w:t>presentan</w:t>
      </w:r>
      <w:r w:rsidR="00200CC1" w:rsidRPr="00200CC1">
        <w:rPr>
          <w:rFonts w:ascii="Calibri" w:hAnsi="Calibri" w:cs="Calibri"/>
          <w:sz w:val="24"/>
          <w:szCs w:val="24"/>
        </w:rPr>
        <w:t xml:space="preserve"> los principales indicadores laborales como la tasa de ocupación, la tasa de </w:t>
      </w:r>
      <w:r w:rsidR="00A509B4">
        <w:rPr>
          <w:rFonts w:ascii="Calibri" w:hAnsi="Calibri" w:cs="Calibri"/>
          <w:sz w:val="24"/>
          <w:szCs w:val="24"/>
        </w:rPr>
        <w:t>desocupación</w:t>
      </w:r>
      <w:r w:rsidR="00200CC1" w:rsidRPr="00200CC1">
        <w:rPr>
          <w:rFonts w:ascii="Calibri" w:hAnsi="Calibri" w:cs="Calibri"/>
          <w:sz w:val="24"/>
          <w:szCs w:val="24"/>
        </w:rPr>
        <w:t xml:space="preserve"> y la tasa global de participación, con el propósito de identificar </w:t>
      </w:r>
      <w:r w:rsidR="00A509B4">
        <w:rPr>
          <w:rFonts w:ascii="Calibri" w:hAnsi="Calibri" w:cs="Calibri"/>
          <w:sz w:val="24"/>
          <w:szCs w:val="24"/>
        </w:rPr>
        <w:t xml:space="preserve">los cambios </w:t>
      </w:r>
      <w:r w:rsidR="00200CC1" w:rsidRPr="00200CC1">
        <w:rPr>
          <w:rFonts w:ascii="Calibri" w:hAnsi="Calibri" w:cs="Calibri"/>
          <w:sz w:val="24"/>
          <w:szCs w:val="24"/>
        </w:rPr>
        <w:t xml:space="preserve">que ha experimentado el mercado </w:t>
      </w:r>
      <w:r w:rsidR="00A509B4">
        <w:rPr>
          <w:rFonts w:ascii="Calibri" w:hAnsi="Calibri" w:cs="Calibri"/>
          <w:sz w:val="24"/>
          <w:szCs w:val="24"/>
        </w:rPr>
        <w:t>laboral</w:t>
      </w:r>
      <w:r w:rsidR="00200CC1" w:rsidRPr="00200CC1">
        <w:rPr>
          <w:rFonts w:ascii="Calibri" w:hAnsi="Calibri" w:cs="Calibri"/>
          <w:sz w:val="24"/>
          <w:szCs w:val="24"/>
        </w:rPr>
        <w:t xml:space="preserve"> en este territorio a lo largo de los últimos cinco años.</w:t>
      </w:r>
    </w:p>
    <w:p w14:paraId="5EF0C881" w14:textId="77777777" w:rsidR="00200CC1" w:rsidRPr="00200CC1" w:rsidRDefault="00200CC1" w:rsidP="001D31F7">
      <w:pPr>
        <w:spacing w:after="0" w:line="240" w:lineRule="auto"/>
        <w:jc w:val="both"/>
        <w:rPr>
          <w:rFonts w:ascii="Calibri" w:hAnsi="Calibri" w:cs="Calibri"/>
          <w:sz w:val="24"/>
          <w:szCs w:val="24"/>
        </w:rPr>
      </w:pPr>
    </w:p>
    <w:p w14:paraId="5648F533" w14:textId="0965816E" w:rsidR="00200CC1" w:rsidRPr="00200CC1" w:rsidRDefault="00200CC1" w:rsidP="001D31F7">
      <w:pPr>
        <w:spacing w:after="0" w:line="240" w:lineRule="auto"/>
        <w:jc w:val="both"/>
        <w:rPr>
          <w:rFonts w:ascii="Calibri" w:hAnsi="Calibri" w:cs="Calibri"/>
          <w:sz w:val="24"/>
          <w:szCs w:val="24"/>
        </w:rPr>
      </w:pPr>
      <w:r w:rsidRPr="00200CC1">
        <w:rPr>
          <w:rFonts w:ascii="Calibri" w:hAnsi="Calibri" w:cs="Calibri"/>
          <w:sz w:val="24"/>
          <w:szCs w:val="24"/>
        </w:rPr>
        <w:t xml:space="preserve">Asimismo, se realiza un ejercicio comparativo con </w:t>
      </w:r>
      <w:r w:rsidR="00D549AE">
        <w:rPr>
          <w:rFonts w:ascii="Calibri" w:hAnsi="Calibri" w:cs="Calibri"/>
          <w:sz w:val="24"/>
          <w:szCs w:val="24"/>
        </w:rPr>
        <w:t>el total nacional y la región Pacífica</w:t>
      </w:r>
      <w:r w:rsidRPr="00200CC1">
        <w:rPr>
          <w:rFonts w:ascii="Calibri" w:hAnsi="Calibri" w:cs="Calibri"/>
          <w:sz w:val="24"/>
          <w:szCs w:val="24"/>
        </w:rPr>
        <w:t xml:space="preserve">, con el fin de contextualizar el desempeño del Cauca en el marco regional, evidenciar similitudes y diferencias, y aportar insumos para la formulación </w:t>
      </w:r>
      <w:r w:rsidR="00A509B4">
        <w:rPr>
          <w:rFonts w:ascii="Calibri" w:hAnsi="Calibri" w:cs="Calibri"/>
          <w:sz w:val="24"/>
          <w:szCs w:val="24"/>
        </w:rPr>
        <w:t>de acciones</w:t>
      </w:r>
      <w:r w:rsidRPr="00200CC1">
        <w:rPr>
          <w:rFonts w:ascii="Calibri" w:hAnsi="Calibri" w:cs="Calibri"/>
          <w:sz w:val="24"/>
          <w:szCs w:val="24"/>
        </w:rPr>
        <w:t xml:space="preserve"> orientadas a mejorar las condiciones </w:t>
      </w:r>
      <w:r w:rsidR="002B05DC">
        <w:rPr>
          <w:rFonts w:ascii="Calibri" w:hAnsi="Calibri" w:cs="Calibri"/>
          <w:sz w:val="24"/>
          <w:szCs w:val="24"/>
        </w:rPr>
        <w:t xml:space="preserve">productivas y </w:t>
      </w:r>
      <w:r w:rsidRPr="00200CC1">
        <w:rPr>
          <w:rFonts w:ascii="Calibri" w:hAnsi="Calibri" w:cs="Calibri"/>
          <w:sz w:val="24"/>
          <w:szCs w:val="24"/>
        </w:rPr>
        <w:t xml:space="preserve">laborales </w:t>
      </w:r>
      <w:r w:rsidR="002B05DC">
        <w:rPr>
          <w:rFonts w:ascii="Calibri" w:hAnsi="Calibri" w:cs="Calibri"/>
          <w:sz w:val="24"/>
          <w:szCs w:val="24"/>
        </w:rPr>
        <w:t>en el territorio.</w:t>
      </w:r>
    </w:p>
    <w:p w14:paraId="6EB6BE68" w14:textId="5EFB9B55" w:rsidR="00D9413C" w:rsidRPr="00200CC1" w:rsidRDefault="00D9413C" w:rsidP="001D31F7">
      <w:pPr>
        <w:spacing w:after="0" w:line="240" w:lineRule="auto"/>
        <w:jc w:val="both"/>
        <w:rPr>
          <w:rFonts w:ascii="Calibri" w:hAnsi="Calibri" w:cs="Calibri"/>
          <w:sz w:val="24"/>
          <w:szCs w:val="24"/>
        </w:rPr>
      </w:pPr>
    </w:p>
    <w:p w14:paraId="499F84E2" w14:textId="79341879" w:rsidR="00FF6FBA" w:rsidRDefault="00FF6FBA" w:rsidP="001D31F7">
      <w:pPr>
        <w:spacing w:line="240" w:lineRule="auto"/>
        <w:rPr>
          <w:rFonts w:ascii="Calibri" w:hAnsi="Calibri" w:cs="Calibri"/>
          <w:sz w:val="24"/>
          <w:szCs w:val="24"/>
        </w:rPr>
      </w:pPr>
      <w:r>
        <w:rPr>
          <w:rFonts w:ascii="Calibri" w:hAnsi="Calibri" w:cs="Calibri"/>
          <w:sz w:val="24"/>
          <w:szCs w:val="24"/>
        </w:rPr>
        <w:br w:type="page"/>
      </w:r>
    </w:p>
    <w:p w14:paraId="5E9BC4BA" w14:textId="77777777" w:rsidR="00D9413C" w:rsidRPr="00200CC1" w:rsidRDefault="00D9413C" w:rsidP="001D31F7">
      <w:pPr>
        <w:spacing w:after="0" w:line="240" w:lineRule="auto"/>
        <w:jc w:val="both"/>
        <w:rPr>
          <w:rFonts w:ascii="Calibri" w:hAnsi="Calibri" w:cs="Calibri"/>
          <w:sz w:val="24"/>
          <w:szCs w:val="24"/>
        </w:rPr>
      </w:pPr>
    </w:p>
    <w:p w14:paraId="4E394676" w14:textId="639CFB0F" w:rsidR="00D9413C" w:rsidRPr="003B3D1F" w:rsidRDefault="003B3D1F" w:rsidP="001D31F7">
      <w:pPr>
        <w:pStyle w:val="Prrafodelista"/>
        <w:numPr>
          <w:ilvl w:val="0"/>
          <w:numId w:val="5"/>
        </w:numPr>
        <w:spacing w:after="0"/>
        <w:jc w:val="both"/>
        <w:rPr>
          <w:rFonts w:ascii="Calibri" w:hAnsi="Calibri" w:cs="Calibri"/>
          <w:bCs/>
        </w:rPr>
      </w:pPr>
      <w:r w:rsidRPr="003B3D1F">
        <w:rPr>
          <w:rFonts w:ascii="Calibri" w:hAnsi="Calibri" w:cs="Calibri"/>
          <w:bCs/>
        </w:rPr>
        <w:t>EMPLEO Y DESOCUPACIÓN</w:t>
      </w:r>
      <w:r w:rsidR="001E6290">
        <w:rPr>
          <w:rFonts w:ascii="Calibri" w:hAnsi="Calibri" w:cs="Calibri"/>
          <w:bCs/>
        </w:rPr>
        <w:t xml:space="preserve"> EN EL CAUCA</w:t>
      </w:r>
    </w:p>
    <w:p w14:paraId="6B09CFF1" w14:textId="77777777" w:rsidR="00D9413C" w:rsidRDefault="00D9413C" w:rsidP="001D31F7">
      <w:pPr>
        <w:spacing w:after="0" w:line="240" w:lineRule="auto"/>
        <w:jc w:val="both"/>
        <w:rPr>
          <w:rFonts w:ascii="Calibri" w:hAnsi="Calibri" w:cs="Calibri"/>
          <w:sz w:val="24"/>
          <w:szCs w:val="24"/>
        </w:rPr>
      </w:pPr>
    </w:p>
    <w:p w14:paraId="7D718423" w14:textId="069DD15B" w:rsidR="0010106F" w:rsidRPr="0010106F" w:rsidRDefault="0010106F" w:rsidP="001D31F7">
      <w:pPr>
        <w:spacing w:after="0" w:line="240" w:lineRule="auto"/>
        <w:jc w:val="both"/>
        <w:rPr>
          <w:rFonts w:ascii="Calibri" w:hAnsi="Calibri" w:cs="Calibri"/>
          <w:b/>
          <w:bCs/>
          <w:sz w:val="24"/>
          <w:szCs w:val="24"/>
        </w:rPr>
      </w:pPr>
      <w:r w:rsidRPr="0010106F">
        <w:rPr>
          <w:rFonts w:ascii="Calibri" w:hAnsi="Calibri" w:cs="Calibri"/>
          <w:b/>
          <w:bCs/>
          <w:sz w:val="24"/>
          <w:szCs w:val="24"/>
        </w:rPr>
        <w:t>1.1 Principales indicadores de mercado laboral en el Cauca</w:t>
      </w:r>
    </w:p>
    <w:p w14:paraId="6C770BB0" w14:textId="77777777" w:rsidR="0010106F" w:rsidRDefault="0010106F" w:rsidP="001D31F7">
      <w:pPr>
        <w:spacing w:after="0" w:line="240" w:lineRule="auto"/>
        <w:jc w:val="both"/>
        <w:rPr>
          <w:rFonts w:ascii="Calibri" w:hAnsi="Calibri" w:cs="Calibri"/>
          <w:sz w:val="24"/>
          <w:szCs w:val="24"/>
        </w:rPr>
      </w:pPr>
    </w:p>
    <w:p w14:paraId="4A1DEC6B" w14:textId="77777777" w:rsidR="00983D6E" w:rsidRDefault="009F3956" w:rsidP="001D31F7">
      <w:pPr>
        <w:spacing w:after="0" w:line="240" w:lineRule="auto"/>
        <w:jc w:val="both"/>
        <w:rPr>
          <w:rFonts w:ascii="Calibri" w:hAnsi="Calibri" w:cs="Calibri"/>
          <w:sz w:val="24"/>
          <w:szCs w:val="24"/>
        </w:rPr>
      </w:pPr>
      <w:r w:rsidRPr="009F3956">
        <w:rPr>
          <w:rFonts w:ascii="Calibri" w:hAnsi="Calibri" w:cs="Calibri"/>
          <w:sz w:val="24"/>
          <w:szCs w:val="24"/>
        </w:rPr>
        <w:t xml:space="preserve">Entre 2020 y 2024, el mercado laboral del departamento del Cauca mostró una recuperación sostenida tras el impacto de la pandemia por </w:t>
      </w:r>
      <w:proofErr w:type="spellStart"/>
      <w:r w:rsidRPr="009F3956">
        <w:rPr>
          <w:rFonts w:ascii="Calibri" w:hAnsi="Calibri" w:cs="Calibri"/>
          <w:sz w:val="24"/>
          <w:szCs w:val="24"/>
        </w:rPr>
        <w:t>Covid-19</w:t>
      </w:r>
      <w:proofErr w:type="spellEnd"/>
      <w:r w:rsidRPr="009F3956">
        <w:rPr>
          <w:rFonts w:ascii="Calibri" w:hAnsi="Calibri" w:cs="Calibri"/>
          <w:sz w:val="24"/>
          <w:szCs w:val="24"/>
        </w:rPr>
        <w:t xml:space="preserve">. La </w:t>
      </w:r>
      <w:r w:rsidRPr="006D3652">
        <w:rPr>
          <w:rFonts w:ascii="Calibri" w:hAnsi="Calibri" w:cs="Calibri"/>
          <w:b/>
          <w:bCs/>
          <w:sz w:val="24"/>
          <w:szCs w:val="24"/>
        </w:rPr>
        <w:t>Tasa Global de Participación (</w:t>
      </w:r>
      <w:proofErr w:type="spellStart"/>
      <w:r w:rsidRPr="006D3652">
        <w:rPr>
          <w:rFonts w:ascii="Calibri" w:hAnsi="Calibri" w:cs="Calibri"/>
          <w:b/>
          <w:bCs/>
          <w:sz w:val="24"/>
          <w:szCs w:val="24"/>
        </w:rPr>
        <w:t>TGP</w:t>
      </w:r>
      <w:proofErr w:type="spellEnd"/>
      <w:r w:rsidRPr="006D3652">
        <w:rPr>
          <w:rFonts w:ascii="Calibri" w:hAnsi="Calibri" w:cs="Calibri"/>
          <w:b/>
          <w:bCs/>
          <w:sz w:val="24"/>
          <w:szCs w:val="24"/>
        </w:rPr>
        <w:t>)</w:t>
      </w:r>
      <w:r w:rsidRPr="009F3956">
        <w:rPr>
          <w:rFonts w:ascii="Calibri" w:hAnsi="Calibri" w:cs="Calibri"/>
          <w:sz w:val="24"/>
          <w:szCs w:val="24"/>
        </w:rPr>
        <w:t xml:space="preserve"> pasó del 58,3% en 2020 al 70,1% en 2024, reflejando un aumento en la proporción de personas que se integraron activamente al mercado laboral. </w:t>
      </w:r>
    </w:p>
    <w:p w14:paraId="193A7152" w14:textId="77777777" w:rsidR="00983D6E" w:rsidRDefault="00983D6E" w:rsidP="001D31F7">
      <w:pPr>
        <w:spacing w:after="0" w:line="240" w:lineRule="auto"/>
        <w:jc w:val="both"/>
        <w:rPr>
          <w:rFonts w:ascii="Calibri" w:hAnsi="Calibri" w:cs="Calibri"/>
          <w:sz w:val="24"/>
          <w:szCs w:val="24"/>
        </w:rPr>
      </w:pPr>
    </w:p>
    <w:p w14:paraId="36183F07" w14:textId="519D4E80" w:rsidR="009F3956" w:rsidRPr="009F3956" w:rsidRDefault="009F3956" w:rsidP="001D31F7">
      <w:pPr>
        <w:spacing w:after="0" w:line="240" w:lineRule="auto"/>
        <w:jc w:val="both"/>
        <w:rPr>
          <w:rFonts w:ascii="Calibri" w:hAnsi="Calibri" w:cs="Calibri"/>
          <w:sz w:val="24"/>
          <w:szCs w:val="24"/>
        </w:rPr>
      </w:pPr>
      <w:r w:rsidRPr="009F3956">
        <w:rPr>
          <w:rFonts w:ascii="Calibri" w:hAnsi="Calibri" w:cs="Calibri"/>
          <w:sz w:val="24"/>
          <w:szCs w:val="24"/>
        </w:rPr>
        <w:t xml:space="preserve">De forma paralela, la </w:t>
      </w:r>
      <w:r w:rsidRPr="006D3652">
        <w:rPr>
          <w:rFonts w:ascii="Calibri" w:hAnsi="Calibri" w:cs="Calibri"/>
          <w:b/>
          <w:bCs/>
          <w:sz w:val="24"/>
          <w:szCs w:val="24"/>
        </w:rPr>
        <w:t>Tasa de Ocupación (</w:t>
      </w:r>
      <w:proofErr w:type="spellStart"/>
      <w:r w:rsidRPr="006D3652">
        <w:rPr>
          <w:rFonts w:ascii="Calibri" w:hAnsi="Calibri" w:cs="Calibri"/>
          <w:b/>
          <w:bCs/>
          <w:sz w:val="24"/>
          <w:szCs w:val="24"/>
        </w:rPr>
        <w:t>TO</w:t>
      </w:r>
      <w:proofErr w:type="spellEnd"/>
      <w:r w:rsidRPr="006D3652">
        <w:rPr>
          <w:rFonts w:ascii="Calibri" w:hAnsi="Calibri" w:cs="Calibri"/>
          <w:b/>
          <w:bCs/>
          <w:sz w:val="24"/>
          <w:szCs w:val="24"/>
        </w:rPr>
        <w:t>)</w:t>
      </w:r>
      <w:r w:rsidRPr="009F3956">
        <w:rPr>
          <w:rFonts w:ascii="Calibri" w:hAnsi="Calibri" w:cs="Calibri"/>
          <w:sz w:val="24"/>
          <w:szCs w:val="24"/>
        </w:rPr>
        <w:t xml:space="preserve"> creció de 49,9% a 64,3%, lo que indica una </w:t>
      </w:r>
      <w:r w:rsidR="005E3798">
        <w:rPr>
          <w:rFonts w:ascii="Calibri" w:hAnsi="Calibri" w:cs="Calibri"/>
          <w:sz w:val="24"/>
          <w:szCs w:val="24"/>
        </w:rPr>
        <w:t>incremento</w:t>
      </w:r>
      <w:r w:rsidRPr="009F3956">
        <w:rPr>
          <w:rFonts w:ascii="Calibri" w:hAnsi="Calibri" w:cs="Calibri"/>
          <w:sz w:val="24"/>
          <w:szCs w:val="24"/>
        </w:rPr>
        <w:t xml:space="preserve"> en la generación de empleo durante este periodo. Por su parte, la </w:t>
      </w:r>
      <w:r w:rsidRPr="006D3652">
        <w:rPr>
          <w:rFonts w:ascii="Calibri" w:hAnsi="Calibri" w:cs="Calibri"/>
          <w:b/>
          <w:bCs/>
          <w:sz w:val="24"/>
          <w:szCs w:val="24"/>
        </w:rPr>
        <w:t>Tasa de Desocupación (</w:t>
      </w:r>
      <w:proofErr w:type="spellStart"/>
      <w:r w:rsidRPr="006D3652">
        <w:rPr>
          <w:rFonts w:ascii="Calibri" w:hAnsi="Calibri" w:cs="Calibri"/>
          <w:b/>
          <w:bCs/>
          <w:sz w:val="24"/>
          <w:szCs w:val="24"/>
        </w:rPr>
        <w:t>TD</w:t>
      </w:r>
      <w:proofErr w:type="spellEnd"/>
      <w:r w:rsidRPr="006D3652">
        <w:rPr>
          <w:rFonts w:ascii="Calibri" w:hAnsi="Calibri" w:cs="Calibri"/>
          <w:b/>
          <w:bCs/>
          <w:sz w:val="24"/>
          <w:szCs w:val="24"/>
        </w:rPr>
        <w:t xml:space="preserve">) </w:t>
      </w:r>
      <w:r w:rsidRPr="009F3956">
        <w:rPr>
          <w:rFonts w:ascii="Calibri" w:hAnsi="Calibri" w:cs="Calibri"/>
          <w:sz w:val="24"/>
          <w:szCs w:val="24"/>
        </w:rPr>
        <w:t>disminuyó de 14,4% a 8,2%, con su punto más bajo en 2023 (7,5%), aunque con un leve repunte en 2024</w:t>
      </w:r>
      <w:r w:rsidR="00DE6E05">
        <w:rPr>
          <w:rFonts w:ascii="Calibri" w:hAnsi="Calibri" w:cs="Calibri"/>
          <w:sz w:val="24"/>
          <w:szCs w:val="24"/>
        </w:rPr>
        <w:t>.</w:t>
      </w:r>
    </w:p>
    <w:p w14:paraId="1C573D85" w14:textId="77777777" w:rsidR="00135029" w:rsidRDefault="00135029" w:rsidP="001D31F7">
      <w:pPr>
        <w:spacing w:after="0" w:line="240" w:lineRule="auto"/>
        <w:jc w:val="both"/>
        <w:rPr>
          <w:rFonts w:ascii="Calibri" w:hAnsi="Calibri" w:cs="Calibri"/>
          <w:sz w:val="24"/>
          <w:szCs w:val="24"/>
        </w:rPr>
      </w:pPr>
    </w:p>
    <w:p w14:paraId="7D8FB015" w14:textId="77777777" w:rsidR="00135029" w:rsidRDefault="00135029" w:rsidP="001D31F7">
      <w:pPr>
        <w:spacing w:after="0" w:line="240" w:lineRule="auto"/>
        <w:jc w:val="both"/>
        <w:rPr>
          <w:rFonts w:ascii="Calibri" w:hAnsi="Calibri" w:cs="Calibri"/>
          <w:sz w:val="24"/>
          <w:szCs w:val="24"/>
        </w:rPr>
      </w:pPr>
    </w:p>
    <w:p w14:paraId="039D8361" w14:textId="3C348D33" w:rsidR="00037088" w:rsidRPr="00037088" w:rsidRDefault="00037088" w:rsidP="001D31F7">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1. </w:t>
      </w:r>
      <w:r w:rsidRPr="00037088">
        <w:rPr>
          <w:rFonts w:ascii="Calibri" w:hAnsi="Calibri" w:cs="Calibri"/>
          <w:sz w:val="24"/>
          <w:szCs w:val="24"/>
        </w:rPr>
        <w:t>Tasa global de participación (</w:t>
      </w:r>
      <w:proofErr w:type="spellStart"/>
      <w:r w:rsidRPr="00037088">
        <w:rPr>
          <w:rFonts w:ascii="Calibri" w:hAnsi="Calibri" w:cs="Calibri"/>
          <w:sz w:val="24"/>
          <w:szCs w:val="24"/>
        </w:rPr>
        <w:t>TGP</w:t>
      </w:r>
      <w:proofErr w:type="spellEnd"/>
      <w:r w:rsidRPr="00037088">
        <w:rPr>
          <w:rFonts w:ascii="Calibri" w:hAnsi="Calibri" w:cs="Calibri"/>
          <w:sz w:val="24"/>
          <w:szCs w:val="24"/>
        </w:rPr>
        <w:t>), Tasa de ocupación (</w:t>
      </w:r>
      <w:proofErr w:type="spellStart"/>
      <w:r w:rsidRPr="00037088">
        <w:rPr>
          <w:rFonts w:ascii="Calibri" w:hAnsi="Calibri" w:cs="Calibri"/>
          <w:sz w:val="24"/>
          <w:szCs w:val="24"/>
        </w:rPr>
        <w:t>TO</w:t>
      </w:r>
      <w:proofErr w:type="spellEnd"/>
      <w:r w:rsidRPr="00037088">
        <w:rPr>
          <w:rFonts w:ascii="Calibri" w:hAnsi="Calibri" w:cs="Calibri"/>
          <w:sz w:val="24"/>
          <w:szCs w:val="24"/>
        </w:rPr>
        <w:t>) y Tasa de desocupación (</w:t>
      </w:r>
      <w:proofErr w:type="spellStart"/>
      <w:r w:rsidRPr="00037088">
        <w:rPr>
          <w:rFonts w:ascii="Calibri" w:hAnsi="Calibri" w:cs="Calibri"/>
          <w:sz w:val="24"/>
          <w:szCs w:val="24"/>
        </w:rPr>
        <w:t>TD</w:t>
      </w:r>
      <w:proofErr w:type="spellEnd"/>
      <w:r w:rsidRPr="00037088">
        <w:rPr>
          <w:rFonts w:ascii="Calibri" w:hAnsi="Calibri" w:cs="Calibri"/>
          <w:sz w:val="24"/>
          <w:szCs w:val="24"/>
        </w:rPr>
        <w:t>)</w:t>
      </w:r>
      <w:r w:rsidR="009613FD">
        <w:rPr>
          <w:rFonts w:ascii="Calibri" w:hAnsi="Calibri" w:cs="Calibri"/>
          <w:sz w:val="24"/>
          <w:szCs w:val="24"/>
        </w:rPr>
        <w:t xml:space="preserve"> </w:t>
      </w:r>
      <w:r w:rsidR="005A7DA6">
        <w:rPr>
          <w:rFonts w:ascii="Calibri" w:hAnsi="Calibri" w:cs="Calibri"/>
          <w:sz w:val="24"/>
          <w:szCs w:val="24"/>
        </w:rPr>
        <w:t>–</w:t>
      </w:r>
      <w:r w:rsidR="009613FD">
        <w:rPr>
          <w:rFonts w:ascii="Calibri" w:hAnsi="Calibri" w:cs="Calibri"/>
          <w:sz w:val="24"/>
          <w:szCs w:val="24"/>
        </w:rPr>
        <w:t xml:space="preserve"> </w:t>
      </w:r>
      <w:r w:rsidRPr="00037088">
        <w:rPr>
          <w:rFonts w:ascii="Calibri" w:hAnsi="Calibri" w:cs="Calibri"/>
          <w:sz w:val="24"/>
          <w:szCs w:val="24"/>
        </w:rPr>
        <w:t>Cauca</w:t>
      </w:r>
      <w:r w:rsidR="005A7DA6">
        <w:rPr>
          <w:rFonts w:ascii="Calibri" w:hAnsi="Calibri" w:cs="Calibri"/>
          <w:sz w:val="24"/>
          <w:szCs w:val="24"/>
        </w:rPr>
        <w:t>,</w:t>
      </w:r>
      <w:r w:rsidRPr="00037088">
        <w:rPr>
          <w:rFonts w:ascii="Calibri" w:hAnsi="Calibri" w:cs="Calibri"/>
          <w:sz w:val="24"/>
          <w:szCs w:val="24"/>
        </w:rPr>
        <w:t xml:space="preserve"> </w:t>
      </w:r>
      <w:r w:rsidR="005A7DA6">
        <w:rPr>
          <w:rFonts w:ascii="Calibri" w:hAnsi="Calibri" w:cs="Calibri"/>
          <w:sz w:val="24"/>
          <w:szCs w:val="24"/>
        </w:rPr>
        <w:t>años</w:t>
      </w:r>
      <w:r w:rsidRPr="00037088">
        <w:rPr>
          <w:rFonts w:ascii="Calibri" w:hAnsi="Calibri" w:cs="Calibri"/>
          <w:sz w:val="24"/>
          <w:szCs w:val="24"/>
        </w:rPr>
        <w:t xml:space="preserve"> 2020 </w:t>
      </w:r>
      <w:r w:rsidR="005A7DA6">
        <w:rPr>
          <w:rFonts w:ascii="Calibri" w:hAnsi="Calibri" w:cs="Calibri"/>
          <w:sz w:val="24"/>
          <w:szCs w:val="24"/>
        </w:rPr>
        <w:t xml:space="preserve">a </w:t>
      </w:r>
      <w:r w:rsidRPr="00037088">
        <w:rPr>
          <w:rFonts w:ascii="Calibri" w:hAnsi="Calibri" w:cs="Calibri"/>
          <w:sz w:val="24"/>
          <w:szCs w:val="24"/>
        </w:rPr>
        <w:t>2024</w:t>
      </w:r>
      <w:r w:rsidR="005A7DA6">
        <w:rPr>
          <w:rFonts w:ascii="Calibri" w:hAnsi="Calibri" w:cs="Calibri"/>
          <w:sz w:val="24"/>
          <w:szCs w:val="24"/>
        </w:rPr>
        <w:t>.</w:t>
      </w:r>
    </w:p>
    <w:p w14:paraId="552DBB51" w14:textId="4998C4B5" w:rsidR="00116B96" w:rsidRDefault="0093363D" w:rsidP="001D31F7">
      <w:pPr>
        <w:spacing w:after="0" w:line="240" w:lineRule="auto"/>
        <w:jc w:val="both"/>
        <w:rPr>
          <w:rFonts w:ascii="Calibri" w:hAnsi="Calibri" w:cs="Calibri"/>
          <w:sz w:val="24"/>
          <w:szCs w:val="24"/>
        </w:rPr>
      </w:pPr>
      <w:r>
        <w:rPr>
          <w:rFonts w:ascii="Calibri" w:hAnsi="Calibri" w:cs="Calibri"/>
          <w:noProof/>
          <w:sz w:val="24"/>
          <w:szCs w:val="24"/>
        </w:rPr>
        <w:drawing>
          <wp:inline distT="0" distB="0" distL="0" distR="0" wp14:anchorId="019522BE" wp14:editId="05E2E372">
            <wp:extent cx="5819775" cy="2645096"/>
            <wp:effectExtent l="0" t="0" r="0" b="3175"/>
            <wp:docPr id="212459318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2382" cy="2650826"/>
                    </a:xfrm>
                    <a:prstGeom prst="rect">
                      <a:avLst/>
                    </a:prstGeom>
                    <a:noFill/>
                  </pic:spPr>
                </pic:pic>
              </a:graphicData>
            </a:graphic>
          </wp:inline>
        </w:drawing>
      </w:r>
    </w:p>
    <w:p w14:paraId="60406A6B" w14:textId="77777777" w:rsidR="0093363D" w:rsidRDefault="0093363D" w:rsidP="001D31F7">
      <w:pPr>
        <w:spacing w:after="0" w:line="240" w:lineRule="auto"/>
        <w:jc w:val="both"/>
        <w:rPr>
          <w:rFonts w:ascii="Calibri" w:hAnsi="Calibri" w:cs="Calibri"/>
          <w:b/>
          <w:bCs/>
          <w:sz w:val="24"/>
          <w:szCs w:val="24"/>
        </w:rPr>
      </w:pPr>
    </w:p>
    <w:p w14:paraId="1B20D119" w14:textId="6C3C4C1A" w:rsidR="00037088" w:rsidRPr="00037088" w:rsidRDefault="00037088" w:rsidP="001D31F7">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sidR="005A7DA6">
        <w:rPr>
          <w:rFonts w:ascii="Calibri" w:hAnsi="Calibri" w:cs="Calibri"/>
          <w:sz w:val="24"/>
          <w:szCs w:val="24"/>
        </w:rPr>
        <w:t xml:space="preserve"> (2024).</w:t>
      </w:r>
    </w:p>
    <w:p w14:paraId="53FA23FE" w14:textId="5B826FCB" w:rsidR="00116B96" w:rsidRDefault="00037088" w:rsidP="001D31F7">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43F5E24B" w14:textId="77777777" w:rsidR="00116B96" w:rsidRDefault="00116B96" w:rsidP="001D31F7">
      <w:pPr>
        <w:spacing w:after="0" w:line="240" w:lineRule="auto"/>
        <w:jc w:val="both"/>
        <w:rPr>
          <w:rFonts w:ascii="Calibri" w:hAnsi="Calibri" w:cs="Calibri"/>
          <w:sz w:val="24"/>
          <w:szCs w:val="24"/>
        </w:rPr>
      </w:pPr>
    </w:p>
    <w:p w14:paraId="2AEEC8FA" w14:textId="77777777" w:rsidR="0010106F" w:rsidRDefault="0010106F" w:rsidP="001D31F7">
      <w:pPr>
        <w:spacing w:after="0" w:line="240" w:lineRule="auto"/>
        <w:jc w:val="both"/>
        <w:rPr>
          <w:rFonts w:ascii="Calibri" w:hAnsi="Calibri" w:cs="Calibri"/>
          <w:sz w:val="24"/>
          <w:szCs w:val="24"/>
        </w:rPr>
      </w:pPr>
    </w:p>
    <w:p w14:paraId="12FD6C7C" w14:textId="749B0442" w:rsidR="00E1084E" w:rsidRPr="0010106F" w:rsidRDefault="0010106F" w:rsidP="001D31F7">
      <w:pPr>
        <w:spacing w:after="0" w:line="240" w:lineRule="auto"/>
        <w:jc w:val="both"/>
        <w:rPr>
          <w:rFonts w:ascii="Calibri" w:hAnsi="Calibri" w:cs="Calibri"/>
          <w:b/>
          <w:bCs/>
          <w:sz w:val="24"/>
          <w:szCs w:val="24"/>
        </w:rPr>
      </w:pPr>
      <w:r w:rsidRPr="0010106F">
        <w:rPr>
          <w:rFonts w:ascii="Calibri" w:hAnsi="Calibri" w:cs="Calibri"/>
          <w:b/>
          <w:bCs/>
          <w:sz w:val="24"/>
          <w:szCs w:val="24"/>
        </w:rPr>
        <w:t>1.2 Tasa de ocupación (</w:t>
      </w:r>
      <w:proofErr w:type="spellStart"/>
      <w:r w:rsidRPr="0010106F">
        <w:rPr>
          <w:rFonts w:ascii="Calibri" w:hAnsi="Calibri" w:cs="Calibri"/>
          <w:b/>
          <w:bCs/>
          <w:sz w:val="24"/>
          <w:szCs w:val="24"/>
        </w:rPr>
        <w:t>TO</w:t>
      </w:r>
      <w:proofErr w:type="spellEnd"/>
      <w:r w:rsidRPr="0010106F">
        <w:rPr>
          <w:rFonts w:ascii="Calibri" w:hAnsi="Calibri" w:cs="Calibri"/>
          <w:b/>
          <w:bCs/>
          <w:sz w:val="24"/>
          <w:szCs w:val="24"/>
        </w:rPr>
        <w:t>)</w:t>
      </w:r>
      <w:r w:rsidR="002C7364">
        <w:rPr>
          <w:rFonts w:ascii="Calibri" w:hAnsi="Calibri" w:cs="Calibri"/>
          <w:b/>
          <w:bCs/>
          <w:sz w:val="24"/>
          <w:szCs w:val="24"/>
        </w:rPr>
        <w:t xml:space="preserve"> y</w:t>
      </w:r>
      <w:r w:rsidR="00A555F8">
        <w:rPr>
          <w:rFonts w:ascii="Calibri" w:hAnsi="Calibri" w:cs="Calibri"/>
          <w:b/>
          <w:bCs/>
          <w:sz w:val="24"/>
          <w:szCs w:val="24"/>
        </w:rPr>
        <w:t xml:space="preserve"> </w:t>
      </w:r>
      <w:r w:rsidR="002C7364">
        <w:rPr>
          <w:rFonts w:ascii="Calibri" w:hAnsi="Calibri" w:cs="Calibri"/>
          <w:b/>
          <w:bCs/>
          <w:sz w:val="24"/>
          <w:szCs w:val="24"/>
        </w:rPr>
        <w:t>Tasa de desocupación (</w:t>
      </w:r>
      <w:proofErr w:type="spellStart"/>
      <w:r w:rsidR="002C7364">
        <w:rPr>
          <w:rFonts w:ascii="Calibri" w:hAnsi="Calibri" w:cs="Calibri"/>
          <w:b/>
          <w:bCs/>
          <w:sz w:val="24"/>
          <w:szCs w:val="24"/>
        </w:rPr>
        <w:t>TD</w:t>
      </w:r>
      <w:proofErr w:type="spellEnd"/>
      <w:r w:rsidR="002C7364">
        <w:rPr>
          <w:rFonts w:ascii="Calibri" w:hAnsi="Calibri" w:cs="Calibri"/>
          <w:b/>
          <w:bCs/>
          <w:sz w:val="24"/>
          <w:szCs w:val="24"/>
        </w:rPr>
        <w:t>),</w:t>
      </w:r>
      <w:r w:rsidRPr="0010106F">
        <w:rPr>
          <w:rFonts w:ascii="Calibri" w:hAnsi="Calibri" w:cs="Calibri"/>
          <w:b/>
          <w:bCs/>
          <w:sz w:val="24"/>
          <w:szCs w:val="24"/>
        </w:rPr>
        <w:t xml:space="preserve"> según sexo</w:t>
      </w:r>
    </w:p>
    <w:p w14:paraId="7FC6BAC9" w14:textId="77777777" w:rsidR="0010106F" w:rsidRDefault="0010106F" w:rsidP="001D31F7">
      <w:pPr>
        <w:spacing w:after="0" w:line="240" w:lineRule="auto"/>
        <w:jc w:val="both"/>
        <w:rPr>
          <w:rFonts w:ascii="Calibri" w:hAnsi="Calibri" w:cs="Calibri"/>
          <w:sz w:val="24"/>
          <w:szCs w:val="24"/>
        </w:rPr>
      </w:pPr>
    </w:p>
    <w:p w14:paraId="333E653C" w14:textId="77777777" w:rsidR="002232C5" w:rsidRDefault="009A5BC3" w:rsidP="001D31F7">
      <w:pPr>
        <w:spacing w:after="0" w:line="240" w:lineRule="auto"/>
        <w:jc w:val="both"/>
        <w:rPr>
          <w:rFonts w:ascii="Calibri" w:hAnsi="Calibri" w:cs="Calibri"/>
          <w:sz w:val="24"/>
          <w:szCs w:val="24"/>
        </w:rPr>
      </w:pPr>
      <w:r w:rsidRPr="009A5BC3">
        <w:rPr>
          <w:rFonts w:ascii="Calibri" w:hAnsi="Calibri" w:cs="Calibri"/>
          <w:sz w:val="24"/>
          <w:szCs w:val="24"/>
        </w:rPr>
        <w:t xml:space="preserve">El análisis de la </w:t>
      </w:r>
      <w:r w:rsidRPr="00C87FC1">
        <w:rPr>
          <w:rFonts w:ascii="Calibri" w:hAnsi="Calibri" w:cs="Calibri"/>
          <w:b/>
          <w:bCs/>
          <w:sz w:val="24"/>
          <w:szCs w:val="24"/>
        </w:rPr>
        <w:t>Tasa de Ocupación (</w:t>
      </w:r>
      <w:proofErr w:type="spellStart"/>
      <w:r w:rsidRPr="00C87FC1">
        <w:rPr>
          <w:rFonts w:ascii="Calibri" w:hAnsi="Calibri" w:cs="Calibri"/>
          <w:b/>
          <w:bCs/>
          <w:sz w:val="24"/>
          <w:szCs w:val="24"/>
        </w:rPr>
        <w:t>TO</w:t>
      </w:r>
      <w:proofErr w:type="spellEnd"/>
      <w:r w:rsidRPr="00C87FC1">
        <w:rPr>
          <w:rFonts w:ascii="Calibri" w:hAnsi="Calibri" w:cs="Calibri"/>
          <w:b/>
          <w:bCs/>
          <w:sz w:val="24"/>
          <w:szCs w:val="24"/>
        </w:rPr>
        <w:t>)</w:t>
      </w:r>
      <w:r w:rsidRPr="009A5BC3">
        <w:rPr>
          <w:rFonts w:ascii="Calibri" w:hAnsi="Calibri" w:cs="Calibri"/>
          <w:sz w:val="24"/>
          <w:szCs w:val="24"/>
        </w:rPr>
        <w:t xml:space="preserve"> en el Cauca</w:t>
      </w:r>
      <w:r w:rsidR="00DE5A0F">
        <w:rPr>
          <w:rFonts w:ascii="Calibri" w:hAnsi="Calibri" w:cs="Calibri"/>
          <w:sz w:val="24"/>
          <w:szCs w:val="24"/>
        </w:rPr>
        <w:t>,</w:t>
      </w:r>
      <w:r w:rsidRPr="009A5BC3">
        <w:rPr>
          <w:rFonts w:ascii="Calibri" w:hAnsi="Calibri" w:cs="Calibri"/>
          <w:sz w:val="24"/>
          <w:szCs w:val="24"/>
        </w:rPr>
        <w:t xml:space="preserve"> entre 2020 y 2024</w:t>
      </w:r>
      <w:r w:rsidR="00DE5A0F">
        <w:rPr>
          <w:rFonts w:ascii="Calibri" w:hAnsi="Calibri" w:cs="Calibri"/>
          <w:sz w:val="24"/>
          <w:szCs w:val="24"/>
        </w:rPr>
        <w:t>,</w:t>
      </w:r>
      <w:r w:rsidRPr="009A5BC3">
        <w:rPr>
          <w:rFonts w:ascii="Calibri" w:hAnsi="Calibri" w:cs="Calibri"/>
          <w:sz w:val="24"/>
          <w:szCs w:val="24"/>
        </w:rPr>
        <w:t xml:space="preserve"> evidencia una persistente brecha de género en el acceso al empleo. Mientras que los hombres mantuvieron niveles elevados de ocupación a lo largo del periodo </w:t>
      </w:r>
      <w:r w:rsidR="008958E2">
        <w:rPr>
          <w:rFonts w:ascii="Calibri" w:hAnsi="Calibri" w:cs="Calibri"/>
          <w:sz w:val="24"/>
          <w:szCs w:val="24"/>
        </w:rPr>
        <w:t>(</w:t>
      </w:r>
      <w:r w:rsidRPr="009A5BC3">
        <w:rPr>
          <w:rFonts w:ascii="Calibri" w:hAnsi="Calibri" w:cs="Calibri"/>
          <w:sz w:val="24"/>
          <w:szCs w:val="24"/>
        </w:rPr>
        <w:t xml:space="preserve">pasando de 67,8% en 2020 a 78,1% en </w:t>
      </w:r>
      <w:r w:rsidRPr="009A5BC3">
        <w:rPr>
          <w:rFonts w:ascii="Calibri" w:hAnsi="Calibri" w:cs="Calibri"/>
          <w:sz w:val="24"/>
          <w:szCs w:val="24"/>
        </w:rPr>
        <w:lastRenderedPageBreak/>
        <w:t>2024</w:t>
      </w:r>
      <w:r w:rsidR="008958E2">
        <w:rPr>
          <w:rFonts w:ascii="Calibri" w:hAnsi="Calibri" w:cs="Calibri"/>
          <w:sz w:val="24"/>
          <w:szCs w:val="24"/>
        </w:rPr>
        <w:t>)</w:t>
      </w:r>
      <w:r w:rsidRPr="009A5BC3">
        <w:rPr>
          <w:rFonts w:ascii="Calibri" w:hAnsi="Calibri" w:cs="Calibri"/>
          <w:sz w:val="24"/>
          <w:szCs w:val="24"/>
        </w:rPr>
        <w:t>, las mujeres partieron de una tasa significativamente inferior (32,8%) y, aunque mostraron una mejora sostenida hasta alcanzar el 51,2% en 2024, la diferencia entre ambos grupos aún supera los 26</w:t>
      </w:r>
      <w:r w:rsidR="00DE5A0F">
        <w:rPr>
          <w:rFonts w:ascii="Calibri" w:hAnsi="Calibri" w:cs="Calibri"/>
          <w:sz w:val="24"/>
          <w:szCs w:val="24"/>
        </w:rPr>
        <w:t>,9</w:t>
      </w:r>
      <w:r w:rsidRPr="009A5BC3">
        <w:rPr>
          <w:rFonts w:ascii="Calibri" w:hAnsi="Calibri" w:cs="Calibri"/>
          <w:sz w:val="24"/>
          <w:szCs w:val="24"/>
        </w:rPr>
        <w:t xml:space="preserve"> puntos porcentuales. </w:t>
      </w:r>
    </w:p>
    <w:p w14:paraId="5747A9FD" w14:textId="77777777" w:rsidR="002232C5" w:rsidRDefault="002232C5" w:rsidP="001D31F7">
      <w:pPr>
        <w:spacing w:after="0" w:line="240" w:lineRule="auto"/>
        <w:jc w:val="both"/>
        <w:rPr>
          <w:rFonts w:ascii="Calibri" w:hAnsi="Calibri" w:cs="Calibri"/>
          <w:sz w:val="24"/>
          <w:szCs w:val="24"/>
        </w:rPr>
      </w:pPr>
    </w:p>
    <w:p w14:paraId="18ADD1E6" w14:textId="60D0A748" w:rsidR="00B54799" w:rsidRDefault="009A5BC3" w:rsidP="001D31F7">
      <w:pPr>
        <w:spacing w:after="0" w:line="240" w:lineRule="auto"/>
        <w:jc w:val="both"/>
        <w:rPr>
          <w:rFonts w:ascii="Calibri" w:hAnsi="Calibri" w:cs="Calibri"/>
          <w:sz w:val="24"/>
          <w:szCs w:val="24"/>
        </w:rPr>
      </w:pPr>
      <w:r w:rsidRPr="009A5BC3">
        <w:rPr>
          <w:rFonts w:ascii="Calibri" w:hAnsi="Calibri" w:cs="Calibri"/>
          <w:sz w:val="24"/>
          <w:szCs w:val="24"/>
        </w:rPr>
        <w:t xml:space="preserve">Este crecimiento en la ocupación femenina sugiere avances en la inclusión laboral de las mujeres, impulsados por </w:t>
      </w:r>
      <w:r w:rsidR="006F32B1">
        <w:rPr>
          <w:rFonts w:ascii="Calibri" w:hAnsi="Calibri" w:cs="Calibri"/>
          <w:sz w:val="24"/>
          <w:szCs w:val="24"/>
        </w:rPr>
        <w:t>iniciativas</w:t>
      </w:r>
      <w:r w:rsidRPr="009A5BC3">
        <w:rPr>
          <w:rFonts w:ascii="Calibri" w:hAnsi="Calibri" w:cs="Calibri"/>
          <w:sz w:val="24"/>
          <w:szCs w:val="24"/>
        </w:rPr>
        <w:t xml:space="preserve"> de reactivación económica con enfoque de género y una mayor participación en sectores como el comercio, los servicios y la economía del cuidado. </w:t>
      </w:r>
    </w:p>
    <w:p w14:paraId="2218D163" w14:textId="77777777" w:rsidR="00B54799" w:rsidRDefault="00B54799" w:rsidP="001D31F7">
      <w:pPr>
        <w:spacing w:after="0" w:line="240" w:lineRule="auto"/>
        <w:jc w:val="both"/>
        <w:rPr>
          <w:rFonts w:ascii="Calibri" w:hAnsi="Calibri" w:cs="Calibri"/>
          <w:sz w:val="24"/>
          <w:szCs w:val="24"/>
        </w:rPr>
      </w:pPr>
    </w:p>
    <w:p w14:paraId="30A220D5" w14:textId="5F5A310E" w:rsidR="009A5BC3" w:rsidRPr="009A5BC3" w:rsidRDefault="009A5BC3" w:rsidP="001D31F7">
      <w:pPr>
        <w:spacing w:after="0" w:line="240" w:lineRule="auto"/>
        <w:jc w:val="both"/>
        <w:rPr>
          <w:rFonts w:ascii="Calibri" w:hAnsi="Calibri" w:cs="Calibri"/>
          <w:sz w:val="24"/>
          <w:szCs w:val="24"/>
        </w:rPr>
      </w:pPr>
      <w:r w:rsidRPr="009A5BC3">
        <w:rPr>
          <w:rFonts w:ascii="Calibri" w:hAnsi="Calibri" w:cs="Calibri"/>
          <w:sz w:val="24"/>
          <w:szCs w:val="24"/>
        </w:rPr>
        <w:t>No obstante, la magnitud de la brecha refleja la necesidad de profundizar en estrategias que promuevan la equidad laboral, el acceso a empleos de calidad y la corresponsabilidad en las tareas del hogar, para lograr una participación más equilibrada entre hombres y mujeres en el mercado laboral.</w:t>
      </w:r>
    </w:p>
    <w:p w14:paraId="4D5C6423" w14:textId="77777777" w:rsidR="002C7364" w:rsidRDefault="002C7364" w:rsidP="001D31F7">
      <w:pPr>
        <w:spacing w:after="0" w:line="240" w:lineRule="auto"/>
        <w:jc w:val="both"/>
        <w:rPr>
          <w:rFonts w:ascii="Calibri" w:hAnsi="Calibri" w:cs="Calibri"/>
          <w:sz w:val="24"/>
          <w:szCs w:val="24"/>
        </w:rPr>
      </w:pPr>
    </w:p>
    <w:p w14:paraId="57AF07A5" w14:textId="77777777" w:rsidR="008958E2" w:rsidRDefault="008958E2" w:rsidP="001D31F7">
      <w:pPr>
        <w:spacing w:after="0" w:line="240" w:lineRule="auto"/>
        <w:jc w:val="both"/>
        <w:rPr>
          <w:rFonts w:ascii="Calibri" w:hAnsi="Calibri" w:cs="Calibri"/>
          <w:sz w:val="24"/>
          <w:szCs w:val="24"/>
        </w:rPr>
      </w:pPr>
    </w:p>
    <w:p w14:paraId="61D207BE" w14:textId="5E6A0BF1" w:rsidR="008958E2" w:rsidRDefault="008958E2" w:rsidP="001D31F7">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Pr>
          <w:rFonts w:ascii="Calibri" w:hAnsi="Calibri" w:cs="Calibri"/>
          <w:b/>
          <w:bCs/>
          <w:sz w:val="24"/>
          <w:szCs w:val="24"/>
        </w:rPr>
        <w:t>2</w:t>
      </w:r>
      <w:r w:rsidRPr="00037088">
        <w:rPr>
          <w:rFonts w:ascii="Calibri" w:hAnsi="Calibri" w:cs="Calibri"/>
          <w:b/>
          <w:bCs/>
          <w:sz w:val="24"/>
          <w:szCs w:val="24"/>
        </w:rPr>
        <w:t xml:space="preserve">. </w:t>
      </w:r>
      <w:r w:rsidRPr="00037088">
        <w:rPr>
          <w:rFonts w:ascii="Calibri" w:hAnsi="Calibri" w:cs="Calibri"/>
          <w:sz w:val="24"/>
          <w:szCs w:val="24"/>
        </w:rPr>
        <w:t xml:space="preserve">Tasa </w:t>
      </w:r>
      <w:r>
        <w:rPr>
          <w:rFonts w:ascii="Calibri" w:hAnsi="Calibri" w:cs="Calibri"/>
          <w:sz w:val="24"/>
          <w:szCs w:val="24"/>
        </w:rPr>
        <w:t>de Ocupación</w:t>
      </w:r>
      <w:r w:rsidRPr="00037088">
        <w:rPr>
          <w:rFonts w:ascii="Calibri" w:hAnsi="Calibri" w:cs="Calibri"/>
          <w:sz w:val="24"/>
          <w:szCs w:val="24"/>
        </w:rPr>
        <w:t xml:space="preserve"> (</w:t>
      </w:r>
      <w:proofErr w:type="spellStart"/>
      <w:r w:rsidRPr="00037088">
        <w:rPr>
          <w:rFonts w:ascii="Calibri" w:hAnsi="Calibri" w:cs="Calibri"/>
          <w:sz w:val="24"/>
          <w:szCs w:val="24"/>
        </w:rPr>
        <w:t>T</w:t>
      </w:r>
      <w:r>
        <w:rPr>
          <w:rFonts w:ascii="Calibri" w:hAnsi="Calibri" w:cs="Calibri"/>
          <w:sz w:val="24"/>
          <w:szCs w:val="24"/>
        </w:rPr>
        <w:t>O</w:t>
      </w:r>
      <w:proofErr w:type="spellEnd"/>
      <w:r w:rsidRPr="00037088">
        <w:rPr>
          <w:rFonts w:ascii="Calibri" w:hAnsi="Calibri" w:cs="Calibri"/>
          <w:sz w:val="24"/>
          <w:szCs w:val="24"/>
        </w:rPr>
        <w:t>)</w:t>
      </w:r>
      <w:r>
        <w:rPr>
          <w:rFonts w:ascii="Calibri" w:hAnsi="Calibri" w:cs="Calibri"/>
          <w:sz w:val="24"/>
          <w:szCs w:val="24"/>
        </w:rPr>
        <w:t xml:space="preserve"> según sexo</w:t>
      </w:r>
      <w:r w:rsidR="006D51C7">
        <w:rPr>
          <w:rFonts w:ascii="Calibri" w:hAnsi="Calibri" w:cs="Calibri"/>
          <w:sz w:val="24"/>
          <w:szCs w:val="24"/>
        </w:rPr>
        <w:t xml:space="preserve"> - </w:t>
      </w:r>
      <w:r w:rsidRPr="00037088">
        <w:rPr>
          <w:rFonts w:ascii="Calibri" w:hAnsi="Calibri" w:cs="Calibri"/>
          <w:sz w:val="24"/>
          <w:szCs w:val="24"/>
        </w:rPr>
        <w:t>Cauca</w:t>
      </w:r>
      <w:r>
        <w:rPr>
          <w:rFonts w:ascii="Calibri" w:hAnsi="Calibri" w:cs="Calibri"/>
          <w:sz w:val="24"/>
          <w:szCs w:val="24"/>
        </w:rPr>
        <w:t>,</w:t>
      </w:r>
      <w:r w:rsidRPr="00037088">
        <w:rPr>
          <w:rFonts w:ascii="Calibri" w:hAnsi="Calibri" w:cs="Calibri"/>
          <w:sz w:val="24"/>
          <w:szCs w:val="24"/>
        </w:rPr>
        <w:t xml:space="preserve"> </w:t>
      </w:r>
      <w:r>
        <w:rPr>
          <w:rFonts w:ascii="Calibri" w:hAnsi="Calibri" w:cs="Calibri"/>
          <w:sz w:val="24"/>
          <w:szCs w:val="24"/>
        </w:rPr>
        <w:t>años</w:t>
      </w:r>
      <w:r w:rsidRPr="00037088">
        <w:rPr>
          <w:rFonts w:ascii="Calibri" w:hAnsi="Calibri" w:cs="Calibri"/>
          <w:sz w:val="24"/>
          <w:szCs w:val="24"/>
        </w:rPr>
        <w:t xml:space="preserve"> 2020 </w:t>
      </w:r>
      <w:r>
        <w:rPr>
          <w:rFonts w:ascii="Calibri" w:hAnsi="Calibri" w:cs="Calibri"/>
          <w:sz w:val="24"/>
          <w:szCs w:val="24"/>
        </w:rPr>
        <w:t xml:space="preserve">a </w:t>
      </w:r>
      <w:r w:rsidRPr="00037088">
        <w:rPr>
          <w:rFonts w:ascii="Calibri" w:hAnsi="Calibri" w:cs="Calibri"/>
          <w:sz w:val="24"/>
          <w:szCs w:val="24"/>
        </w:rPr>
        <w:t>2024</w:t>
      </w:r>
      <w:r>
        <w:rPr>
          <w:rFonts w:ascii="Calibri" w:hAnsi="Calibri" w:cs="Calibri"/>
          <w:sz w:val="24"/>
          <w:szCs w:val="24"/>
        </w:rPr>
        <w:t>.</w:t>
      </w:r>
    </w:p>
    <w:p w14:paraId="63FF08D2" w14:textId="77777777" w:rsidR="006D51C7" w:rsidRPr="00037088" w:rsidRDefault="006D51C7" w:rsidP="001D31F7">
      <w:pPr>
        <w:spacing w:after="0" w:line="240" w:lineRule="auto"/>
        <w:jc w:val="both"/>
        <w:rPr>
          <w:rFonts w:ascii="Calibri" w:hAnsi="Calibri" w:cs="Calibri"/>
          <w:sz w:val="24"/>
          <w:szCs w:val="24"/>
        </w:rPr>
      </w:pPr>
    </w:p>
    <w:p w14:paraId="66627408" w14:textId="73F87002" w:rsidR="002C7364" w:rsidRDefault="00A555F8" w:rsidP="001D31F7">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2FE058F6" wp14:editId="6FD36523">
            <wp:extent cx="4305300" cy="2094955"/>
            <wp:effectExtent l="0" t="0" r="0" b="635"/>
            <wp:docPr id="98404198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5679" cy="2100005"/>
                    </a:xfrm>
                    <a:prstGeom prst="rect">
                      <a:avLst/>
                    </a:prstGeom>
                    <a:noFill/>
                  </pic:spPr>
                </pic:pic>
              </a:graphicData>
            </a:graphic>
          </wp:inline>
        </w:drawing>
      </w:r>
    </w:p>
    <w:p w14:paraId="564CF2DA" w14:textId="77777777" w:rsidR="008958E2" w:rsidRPr="00037088" w:rsidRDefault="008958E2" w:rsidP="001D31F7">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610D715B" w14:textId="77777777" w:rsidR="008958E2" w:rsidRDefault="008958E2" w:rsidP="001D31F7">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261948BF" w14:textId="77777777" w:rsidR="002C7364" w:rsidRDefault="002C7364" w:rsidP="001D31F7">
      <w:pPr>
        <w:spacing w:after="0" w:line="240" w:lineRule="auto"/>
        <w:jc w:val="both"/>
        <w:rPr>
          <w:rFonts w:ascii="Calibri" w:hAnsi="Calibri" w:cs="Calibri"/>
          <w:sz w:val="24"/>
          <w:szCs w:val="24"/>
        </w:rPr>
      </w:pPr>
    </w:p>
    <w:p w14:paraId="6BED4D73" w14:textId="77777777" w:rsidR="002C7364" w:rsidRDefault="002C7364" w:rsidP="001D31F7">
      <w:pPr>
        <w:spacing w:after="0" w:line="240" w:lineRule="auto"/>
        <w:jc w:val="both"/>
        <w:rPr>
          <w:rFonts w:ascii="Calibri" w:hAnsi="Calibri" w:cs="Calibri"/>
          <w:sz w:val="24"/>
          <w:szCs w:val="24"/>
        </w:rPr>
      </w:pPr>
    </w:p>
    <w:p w14:paraId="6C065C37" w14:textId="081B6938" w:rsidR="002D0EBD" w:rsidRDefault="002F45B3" w:rsidP="001D31F7">
      <w:pPr>
        <w:spacing w:after="0" w:line="240" w:lineRule="auto"/>
        <w:jc w:val="both"/>
        <w:rPr>
          <w:rFonts w:ascii="Calibri" w:hAnsi="Calibri" w:cs="Calibri"/>
          <w:sz w:val="24"/>
          <w:szCs w:val="24"/>
        </w:rPr>
      </w:pPr>
      <w:r w:rsidRPr="002F45B3">
        <w:rPr>
          <w:rFonts w:ascii="Calibri" w:hAnsi="Calibri" w:cs="Calibri"/>
          <w:sz w:val="24"/>
          <w:szCs w:val="24"/>
        </w:rPr>
        <w:t xml:space="preserve">La evolución de la </w:t>
      </w:r>
      <w:r w:rsidRPr="00C87FC1">
        <w:rPr>
          <w:rFonts w:ascii="Calibri" w:hAnsi="Calibri" w:cs="Calibri"/>
          <w:b/>
          <w:bCs/>
          <w:sz w:val="24"/>
          <w:szCs w:val="24"/>
        </w:rPr>
        <w:t>Tasa de Desocupación (</w:t>
      </w:r>
      <w:proofErr w:type="spellStart"/>
      <w:r w:rsidRPr="00C87FC1">
        <w:rPr>
          <w:rFonts w:ascii="Calibri" w:hAnsi="Calibri" w:cs="Calibri"/>
          <w:b/>
          <w:bCs/>
          <w:sz w:val="24"/>
          <w:szCs w:val="24"/>
        </w:rPr>
        <w:t>TD</w:t>
      </w:r>
      <w:proofErr w:type="spellEnd"/>
      <w:r w:rsidRPr="00C87FC1">
        <w:rPr>
          <w:rFonts w:ascii="Calibri" w:hAnsi="Calibri" w:cs="Calibri"/>
          <w:b/>
          <w:bCs/>
          <w:sz w:val="24"/>
          <w:szCs w:val="24"/>
        </w:rPr>
        <w:t>)</w:t>
      </w:r>
      <w:r w:rsidRPr="002F45B3">
        <w:rPr>
          <w:rFonts w:ascii="Calibri" w:hAnsi="Calibri" w:cs="Calibri"/>
          <w:sz w:val="24"/>
          <w:szCs w:val="24"/>
        </w:rPr>
        <w:t xml:space="preserve"> revela una marcada desigualdad de género en el acceso al empleo. Mientras que los hombres registraron una tasa de desempleo relativamente baja y estable, disminuyendo de 8,5% en 2020 a 4,6% en 2024, las mujeres enfrentaron niveles significativamente más altos, con una desocupación que pasó de 24,1% en 2020 a 13,0% en 2024. </w:t>
      </w:r>
    </w:p>
    <w:p w14:paraId="3BD62DB1" w14:textId="77777777" w:rsidR="002D0EBD" w:rsidRDefault="002D0EBD" w:rsidP="001D31F7">
      <w:pPr>
        <w:spacing w:after="0" w:line="240" w:lineRule="auto"/>
        <w:jc w:val="both"/>
        <w:rPr>
          <w:rFonts w:ascii="Calibri" w:hAnsi="Calibri" w:cs="Calibri"/>
          <w:sz w:val="24"/>
          <w:szCs w:val="24"/>
        </w:rPr>
      </w:pPr>
    </w:p>
    <w:p w14:paraId="5522E03B" w14:textId="4B0C8EFC" w:rsidR="00A555F8" w:rsidRDefault="002F45B3" w:rsidP="001D31F7">
      <w:pPr>
        <w:spacing w:after="0" w:line="240" w:lineRule="auto"/>
        <w:jc w:val="both"/>
        <w:rPr>
          <w:rFonts w:ascii="Calibri" w:hAnsi="Calibri" w:cs="Calibri"/>
          <w:sz w:val="24"/>
          <w:szCs w:val="24"/>
        </w:rPr>
      </w:pPr>
      <w:r w:rsidRPr="002F45B3">
        <w:rPr>
          <w:rFonts w:ascii="Calibri" w:hAnsi="Calibri" w:cs="Calibri"/>
          <w:sz w:val="24"/>
          <w:szCs w:val="24"/>
        </w:rPr>
        <w:t xml:space="preserve">Si bien la brecha se ha reducido en términos relativos, la desocupación femenina sigue triplicando a la masculina, lo que evidencia mayores obstáculos para que las mujeres accedan y se mantengan en el mercado laboral. Esta diferencia estructural puede estar asociada a barreras como la carga desproporcionada de trabajo no remunerado, la segmentación </w:t>
      </w:r>
      <w:r w:rsidRPr="002F45B3">
        <w:rPr>
          <w:rFonts w:ascii="Calibri" w:hAnsi="Calibri" w:cs="Calibri"/>
          <w:sz w:val="24"/>
          <w:szCs w:val="24"/>
        </w:rPr>
        <w:lastRenderedPageBreak/>
        <w:t xml:space="preserve">ocupacional y la menor disponibilidad de empleos adecuados para mujeres, especialmente en zonas rurales. </w:t>
      </w:r>
    </w:p>
    <w:p w14:paraId="193F1739" w14:textId="77777777" w:rsidR="00BE6CAE" w:rsidRDefault="00BE6CAE" w:rsidP="001D31F7">
      <w:pPr>
        <w:spacing w:after="0" w:line="240" w:lineRule="auto"/>
        <w:jc w:val="both"/>
        <w:rPr>
          <w:rFonts w:ascii="Calibri" w:hAnsi="Calibri" w:cs="Calibri"/>
          <w:sz w:val="24"/>
          <w:szCs w:val="24"/>
        </w:rPr>
      </w:pPr>
    </w:p>
    <w:p w14:paraId="11DE977C" w14:textId="77777777" w:rsidR="00B54799" w:rsidRDefault="00B54799" w:rsidP="001D31F7">
      <w:pPr>
        <w:spacing w:after="0" w:line="240" w:lineRule="auto"/>
        <w:jc w:val="both"/>
        <w:rPr>
          <w:rFonts w:ascii="Calibri" w:hAnsi="Calibri" w:cs="Calibri"/>
          <w:sz w:val="24"/>
          <w:szCs w:val="24"/>
        </w:rPr>
      </w:pPr>
    </w:p>
    <w:p w14:paraId="1A864C9C" w14:textId="5C895F77" w:rsidR="00F22056" w:rsidRPr="00037088" w:rsidRDefault="00F22056" w:rsidP="001D31F7">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Pr>
          <w:rFonts w:ascii="Calibri" w:hAnsi="Calibri" w:cs="Calibri"/>
          <w:b/>
          <w:bCs/>
          <w:sz w:val="24"/>
          <w:szCs w:val="24"/>
        </w:rPr>
        <w:t>3</w:t>
      </w:r>
      <w:r w:rsidRPr="00037088">
        <w:rPr>
          <w:rFonts w:ascii="Calibri" w:hAnsi="Calibri" w:cs="Calibri"/>
          <w:b/>
          <w:bCs/>
          <w:sz w:val="24"/>
          <w:szCs w:val="24"/>
        </w:rPr>
        <w:t xml:space="preserve">. </w:t>
      </w:r>
      <w:r w:rsidRPr="00037088">
        <w:rPr>
          <w:rFonts w:ascii="Calibri" w:hAnsi="Calibri" w:cs="Calibri"/>
          <w:sz w:val="24"/>
          <w:szCs w:val="24"/>
        </w:rPr>
        <w:t xml:space="preserve">Tasa </w:t>
      </w:r>
      <w:r>
        <w:rPr>
          <w:rFonts w:ascii="Calibri" w:hAnsi="Calibri" w:cs="Calibri"/>
          <w:sz w:val="24"/>
          <w:szCs w:val="24"/>
        </w:rPr>
        <w:t>de Desocupación</w:t>
      </w:r>
      <w:r w:rsidRPr="00037088">
        <w:rPr>
          <w:rFonts w:ascii="Calibri" w:hAnsi="Calibri" w:cs="Calibri"/>
          <w:sz w:val="24"/>
          <w:szCs w:val="24"/>
        </w:rPr>
        <w:t xml:space="preserve"> (</w:t>
      </w:r>
      <w:proofErr w:type="spellStart"/>
      <w:r w:rsidRPr="00037088">
        <w:rPr>
          <w:rFonts w:ascii="Calibri" w:hAnsi="Calibri" w:cs="Calibri"/>
          <w:sz w:val="24"/>
          <w:szCs w:val="24"/>
        </w:rPr>
        <w:t>T</w:t>
      </w:r>
      <w:r>
        <w:rPr>
          <w:rFonts w:ascii="Calibri" w:hAnsi="Calibri" w:cs="Calibri"/>
          <w:sz w:val="24"/>
          <w:szCs w:val="24"/>
        </w:rPr>
        <w:t>D</w:t>
      </w:r>
      <w:proofErr w:type="spellEnd"/>
      <w:r w:rsidRPr="00037088">
        <w:rPr>
          <w:rFonts w:ascii="Calibri" w:hAnsi="Calibri" w:cs="Calibri"/>
          <w:sz w:val="24"/>
          <w:szCs w:val="24"/>
        </w:rPr>
        <w:t>)</w:t>
      </w:r>
      <w:r>
        <w:rPr>
          <w:rFonts w:ascii="Calibri" w:hAnsi="Calibri" w:cs="Calibri"/>
          <w:sz w:val="24"/>
          <w:szCs w:val="24"/>
        </w:rPr>
        <w:t xml:space="preserve"> según sexo</w:t>
      </w:r>
      <w:r w:rsidR="0074515D">
        <w:rPr>
          <w:rFonts w:ascii="Calibri" w:hAnsi="Calibri" w:cs="Calibri"/>
          <w:sz w:val="24"/>
          <w:szCs w:val="24"/>
        </w:rPr>
        <w:t xml:space="preserve"> - </w:t>
      </w:r>
      <w:r w:rsidRPr="00037088">
        <w:rPr>
          <w:rFonts w:ascii="Calibri" w:hAnsi="Calibri" w:cs="Calibri"/>
          <w:sz w:val="24"/>
          <w:szCs w:val="24"/>
        </w:rPr>
        <w:t>Cauca</w:t>
      </w:r>
      <w:r>
        <w:rPr>
          <w:rFonts w:ascii="Calibri" w:hAnsi="Calibri" w:cs="Calibri"/>
          <w:sz w:val="24"/>
          <w:szCs w:val="24"/>
        </w:rPr>
        <w:t>,</w:t>
      </w:r>
      <w:r w:rsidRPr="00037088">
        <w:rPr>
          <w:rFonts w:ascii="Calibri" w:hAnsi="Calibri" w:cs="Calibri"/>
          <w:sz w:val="24"/>
          <w:szCs w:val="24"/>
        </w:rPr>
        <w:t xml:space="preserve"> </w:t>
      </w:r>
      <w:r>
        <w:rPr>
          <w:rFonts w:ascii="Calibri" w:hAnsi="Calibri" w:cs="Calibri"/>
          <w:sz w:val="24"/>
          <w:szCs w:val="24"/>
        </w:rPr>
        <w:t>años</w:t>
      </w:r>
      <w:r w:rsidRPr="00037088">
        <w:rPr>
          <w:rFonts w:ascii="Calibri" w:hAnsi="Calibri" w:cs="Calibri"/>
          <w:sz w:val="24"/>
          <w:szCs w:val="24"/>
        </w:rPr>
        <w:t xml:space="preserve"> 2020 </w:t>
      </w:r>
      <w:r>
        <w:rPr>
          <w:rFonts w:ascii="Calibri" w:hAnsi="Calibri" w:cs="Calibri"/>
          <w:sz w:val="24"/>
          <w:szCs w:val="24"/>
        </w:rPr>
        <w:t xml:space="preserve">a </w:t>
      </w:r>
      <w:r w:rsidRPr="00037088">
        <w:rPr>
          <w:rFonts w:ascii="Calibri" w:hAnsi="Calibri" w:cs="Calibri"/>
          <w:sz w:val="24"/>
          <w:szCs w:val="24"/>
        </w:rPr>
        <w:t>2024</w:t>
      </w:r>
      <w:r>
        <w:rPr>
          <w:rFonts w:ascii="Calibri" w:hAnsi="Calibri" w:cs="Calibri"/>
          <w:sz w:val="24"/>
          <w:szCs w:val="24"/>
        </w:rPr>
        <w:t>.</w:t>
      </w:r>
    </w:p>
    <w:p w14:paraId="50827C50" w14:textId="1E719587" w:rsidR="002C7364" w:rsidRDefault="00F22056" w:rsidP="001D31F7">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281D6FF5" wp14:editId="3E84872E">
            <wp:extent cx="4396740" cy="2636826"/>
            <wp:effectExtent l="0" t="0" r="3810" b="0"/>
            <wp:docPr id="3147719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3847" cy="2647085"/>
                    </a:xfrm>
                    <a:prstGeom prst="rect">
                      <a:avLst/>
                    </a:prstGeom>
                    <a:noFill/>
                  </pic:spPr>
                </pic:pic>
              </a:graphicData>
            </a:graphic>
          </wp:inline>
        </w:drawing>
      </w:r>
    </w:p>
    <w:p w14:paraId="5B6DFEFA" w14:textId="77777777" w:rsidR="00F22056" w:rsidRPr="00037088" w:rsidRDefault="00F22056" w:rsidP="001D31F7">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25DBA1FA" w14:textId="77777777" w:rsidR="00F22056" w:rsidRDefault="00F22056" w:rsidP="001D31F7">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2E5244DF" w14:textId="77777777" w:rsidR="0010106F" w:rsidRDefault="0010106F" w:rsidP="001D31F7">
      <w:pPr>
        <w:spacing w:after="0" w:line="240" w:lineRule="auto"/>
        <w:jc w:val="both"/>
        <w:rPr>
          <w:rFonts w:ascii="Calibri" w:hAnsi="Calibri" w:cs="Calibri"/>
          <w:sz w:val="24"/>
          <w:szCs w:val="24"/>
        </w:rPr>
      </w:pPr>
    </w:p>
    <w:p w14:paraId="0EFF5CE9" w14:textId="77777777" w:rsidR="00F22056" w:rsidRDefault="00F22056" w:rsidP="001D31F7">
      <w:pPr>
        <w:spacing w:after="0" w:line="240" w:lineRule="auto"/>
        <w:jc w:val="both"/>
        <w:rPr>
          <w:rFonts w:ascii="Calibri" w:hAnsi="Calibri" w:cs="Calibri"/>
          <w:sz w:val="24"/>
          <w:szCs w:val="24"/>
        </w:rPr>
      </w:pPr>
    </w:p>
    <w:p w14:paraId="3E2BF6B6" w14:textId="7A164A2E" w:rsidR="00820073" w:rsidRPr="0010106F" w:rsidRDefault="00820073" w:rsidP="001D31F7">
      <w:pPr>
        <w:spacing w:after="0" w:line="240" w:lineRule="auto"/>
        <w:jc w:val="both"/>
        <w:rPr>
          <w:rFonts w:ascii="Calibri" w:hAnsi="Calibri" w:cs="Calibri"/>
          <w:b/>
          <w:bCs/>
          <w:sz w:val="24"/>
          <w:szCs w:val="24"/>
        </w:rPr>
      </w:pPr>
      <w:r w:rsidRPr="0010106F">
        <w:rPr>
          <w:rFonts w:ascii="Calibri" w:hAnsi="Calibri" w:cs="Calibri"/>
          <w:b/>
          <w:bCs/>
          <w:sz w:val="24"/>
          <w:szCs w:val="24"/>
        </w:rPr>
        <w:t>1.</w:t>
      </w:r>
      <w:r w:rsidR="000560F7">
        <w:rPr>
          <w:rFonts w:ascii="Calibri" w:hAnsi="Calibri" w:cs="Calibri"/>
          <w:b/>
          <w:bCs/>
          <w:sz w:val="24"/>
          <w:szCs w:val="24"/>
        </w:rPr>
        <w:t>3</w:t>
      </w:r>
      <w:r w:rsidRPr="0010106F">
        <w:rPr>
          <w:rFonts w:ascii="Calibri" w:hAnsi="Calibri" w:cs="Calibri"/>
          <w:b/>
          <w:bCs/>
          <w:sz w:val="24"/>
          <w:szCs w:val="24"/>
        </w:rPr>
        <w:t xml:space="preserve"> Tasa de ocupación (</w:t>
      </w:r>
      <w:proofErr w:type="spellStart"/>
      <w:r w:rsidRPr="0010106F">
        <w:rPr>
          <w:rFonts w:ascii="Calibri" w:hAnsi="Calibri" w:cs="Calibri"/>
          <w:b/>
          <w:bCs/>
          <w:sz w:val="24"/>
          <w:szCs w:val="24"/>
        </w:rPr>
        <w:t>TO</w:t>
      </w:r>
      <w:proofErr w:type="spellEnd"/>
      <w:r w:rsidRPr="0010106F">
        <w:rPr>
          <w:rFonts w:ascii="Calibri" w:hAnsi="Calibri" w:cs="Calibri"/>
          <w:b/>
          <w:bCs/>
          <w:sz w:val="24"/>
          <w:szCs w:val="24"/>
        </w:rPr>
        <w:t>)</w:t>
      </w:r>
      <w:r>
        <w:rPr>
          <w:rFonts w:ascii="Calibri" w:hAnsi="Calibri" w:cs="Calibri"/>
          <w:b/>
          <w:bCs/>
          <w:sz w:val="24"/>
          <w:szCs w:val="24"/>
        </w:rPr>
        <w:t xml:space="preserve"> y Tasa de desocupación (</w:t>
      </w:r>
      <w:proofErr w:type="spellStart"/>
      <w:r>
        <w:rPr>
          <w:rFonts w:ascii="Calibri" w:hAnsi="Calibri" w:cs="Calibri"/>
          <w:b/>
          <w:bCs/>
          <w:sz w:val="24"/>
          <w:szCs w:val="24"/>
        </w:rPr>
        <w:t>TD</w:t>
      </w:r>
      <w:proofErr w:type="spellEnd"/>
      <w:r>
        <w:rPr>
          <w:rFonts w:ascii="Calibri" w:hAnsi="Calibri" w:cs="Calibri"/>
          <w:b/>
          <w:bCs/>
          <w:sz w:val="24"/>
          <w:szCs w:val="24"/>
        </w:rPr>
        <w:t>),</w:t>
      </w:r>
      <w:r w:rsidRPr="0010106F">
        <w:rPr>
          <w:rFonts w:ascii="Calibri" w:hAnsi="Calibri" w:cs="Calibri"/>
          <w:b/>
          <w:bCs/>
          <w:sz w:val="24"/>
          <w:szCs w:val="24"/>
        </w:rPr>
        <w:t xml:space="preserve"> según </w:t>
      </w:r>
      <w:r>
        <w:rPr>
          <w:rFonts w:ascii="Calibri" w:hAnsi="Calibri" w:cs="Calibri"/>
          <w:b/>
          <w:bCs/>
          <w:sz w:val="24"/>
          <w:szCs w:val="24"/>
        </w:rPr>
        <w:t>área geográfica</w:t>
      </w:r>
    </w:p>
    <w:p w14:paraId="4DD4C279" w14:textId="77777777" w:rsidR="007446D1" w:rsidRDefault="007446D1" w:rsidP="001D31F7">
      <w:pPr>
        <w:spacing w:after="0" w:line="240" w:lineRule="auto"/>
        <w:jc w:val="both"/>
        <w:rPr>
          <w:rFonts w:ascii="Calibri" w:hAnsi="Calibri" w:cs="Calibri"/>
          <w:sz w:val="24"/>
          <w:szCs w:val="24"/>
        </w:rPr>
      </w:pPr>
    </w:p>
    <w:p w14:paraId="2082850D" w14:textId="08514186" w:rsidR="00295FA4" w:rsidRDefault="00F31B1C" w:rsidP="001D31F7">
      <w:pPr>
        <w:spacing w:after="0" w:line="240" w:lineRule="auto"/>
        <w:jc w:val="both"/>
        <w:rPr>
          <w:rFonts w:ascii="Calibri" w:hAnsi="Calibri" w:cs="Calibri"/>
          <w:sz w:val="24"/>
          <w:szCs w:val="24"/>
        </w:rPr>
      </w:pPr>
      <w:r w:rsidRPr="00F31B1C">
        <w:rPr>
          <w:rFonts w:ascii="Calibri" w:hAnsi="Calibri" w:cs="Calibri"/>
          <w:sz w:val="24"/>
          <w:szCs w:val="24"/>
        </w:rPr>
        <w:t xml:space="preserve">El comportamiento de la </w:t>
      </w:r>
      <w:r w:rsidRPr="009E0F87">
        <w:rPr>
          <w:rFonts w:ascii="Calibri" w:hAnsi="Calibri" w:cs="Calibri"/>
          <w:b/>
          <w:bCs/>
          <w:sz w:val="24"/>
          <w:szCs w:val="24"/>
        </w:rPr>
        <w:t>Tasa de Ocupación (</w:t>
      </w:r>
      <w:proofErr w:type="spellStart"/>
      <w:r w:rsidRPr="009E0F87">
        <w:rPr>
          <w:rFonts w:ascii="Calibri" w:hAnsi="Calibri" w:cs="Calibri"/>
          <w:b/>
          <w:bCs/>
          <w:sz w:val="24"/>
          <w:szCs w:val="24"/>
        </w:rPr>
        <w:t>TO</w:t>
      </w:r>
      <w:proofErr w:type="spellEnd"/>
      <w:r w:rsidRPr="009E0F87">
        <w:rPr>
          <w:rFonts w:ascii="Calibri" w:hAnsi="Calibri" w:cs="Calibri"/>
          <w:b/>
          <w:bCs/>
          <w:sz w:val="24"/>
          <w:szCs w:val="24"/>
        </w:rPr>
        <w:t>)</w:t>
      </w:r>
      <w:r w:rsidRPr="00F31B1C">
        <w:rPr>
          <w:rFonts w:ascii="Calibri" w:hAnsi="Calibri" w:cs="Calibri"/>
          <w:sz w:val="24"/>
          <w:szCs w:val="24"/>
        </w:rPr>
        <w:t xml:space="preserve"> evidencia una mayor dinámica laboral en los centros poblados y el sector rural disperso frente a las cabeceras municipales. En la zona rural, la </w:t>
      </w:r>
      <w:proofErr w:type="spellStart"/>
      <w:r w:rsidRPr="00F31B1C">
        <w:rPr>
          <w:rFonts w:ascii="Calibri" w:hAnsi="Calibri" w:cs="Calibri"/>
          <w:sz w:val="24"/>
          <w:szCs w:val="24"/>
        </w:rPr>
        <w:t>TO</w:t>
      </w:r>
      <w:proofErr w:type="spellEnd"/>
      <w:r w:rsidRPr="00F31B1C">
        <w:rPr>
          <w:rFonts w:ascii="Calibri" w:hAnsi="Calibri" w:cs="Calibri"/>
          <w:sz w:val="24"/>
          <w:szCs w:val="24"/>
        </w:rPr>
        <w:t xml:space="preserve"> pasó de 51,8% en 2020 a 67,4% en 2024, con un crecimiento de 15,6 puntos porcentuales, mientras que en las cabeceras el incremento fue de 12,2 puntos, al pasar de 46,8% a 59,0% en el mismo periodo. </w:t>
      </w:r>
    </w:p>
    <w:p w14:paraId="396B7490" w14:textId="77777777" w:rsidR="00295FA4" w:rsidRDefault="00295FA4" w:rsidP="001D31F7">
      <w:pPr>
        <w:spacing w:after="0" w:line="240" w:lineRule="auto"/>
        <w:jc w:val="both"/>
        <w:rPr>
          <w:rFonts w:ascii="Calibri" w:hAnsi="Calibri" w:cs="Calibri"/>
          <w:sz w:val="24"/>
          <w:szCs w:val="24"/>
        </w:rPr>
      </w:pPr>
    </w:p>
    <w:p w14:paraId="07A8C254" w14:textId="12800E2F" w:rsidR="00295FA4" w:rsidRDefault="00F31B1C" w:rsidP="001D31F7">
      <w:pPr>
        <w:spacing w:after="0" w:line="240" w:lineRule="auto"/>
        <w:jc w:val="both"/>
        <w:rPr>
          <w:rFonts w:ascii="Calibri" w:hAnsi="Calibri" w:cs="Calibri"/>
          <w:sz w:val="24"/>
          <w:szCs w:val="24"/>
        </w:rPr>
      </w:pPr>
      <w:r w:rsidRPr="00F31B1C">
        <w:rPr>
          <w:rFonts w:ascii="Calibri" w:hAnsi="Calibri" w:cs="Calibri"/>
          <w:sz w:val="24"/>
          <w:szCs w:val="24"/>
        </w:rPr>
        <w:t xml:space="preserve">Esta diferencia sugiere una recuperación más acelerada del empleo en áreas rurales, posiblemente impulsada por actividades agropecuarias, comercio informal y economías comunitarias. Sin embargo, también puede reflejar una persistencia de empleos de baja calidad o informalidad en estas zonas. </w:t>
      </w:r>
    </w:p>
    <w:p w14:paraId="0D0F77A8" w14:textId="77777777" w:rsidR="00295FA4" w:rsidRDefault="00295FA4" w:rsidP="001D31F7">
      <w:pPr>
        <w:spacing w:after="0" w:line="240" w:lineRule="auto"/>
        <w:jc w:val="both"/>
        <w:rPr>
          <w:rFonts w:ascii="Calibri" w:hAnsi="Calibri" w:cs="Calibri"/>
          <w:sz w:val="24"/>
          <w:szCs w:val="24"/>
        </w:rPr>
      </w:pPr>
    </w:p>
    <w:p w14:paraId="456747D8" w14:textId="19DCCB12" w:rsidR="00F31B1C" w:rsidRPr="00F31B1C" w:rsidRDefault="00F31B1C" w:rsidP="001D31F7">
      <w:pPr>
        <w:spacing w:after="0" w:line="240" w:lineRule="auto"/>
        <w:jc w:val="both"/>
        <w:rPr>
          <w:rFonts w:ascii="Calibri" w:hAnsi="Calibri" w:cs="Calibri"/>
          <w:sz w:val="24"/>
          <w:szCs w:val="24"/>
        </w:rPr>
      </w:pPr>
      <w:r w:rsidRPr="00F31B1C">
        <w:rPr>
          <w:rFonts w:ascii="Calibri" w:hAnsi="Calibri" w:cs="Calibri"/>
          <w:sz w:val="24"/>
          <w:szCs w:val="24"/>
        </w:rPr>
        <w:t xml:space="preserve">En contraste, aunque las cabeceras presentan un crecimiento estable, su menor nivel de ocupación podría estar relacionado con mayores exigencias de cualificación, un mercado laboral más competitivo </w:t>
      </w:r>
      <w:r w:rsidR="00651384">
        <w:rPr>
          <w:rFonts w:ascii="Calibri" w:hAnsi="Calibri" w:cs="Calibri"/>
          <w:sz w:val="24"/>
          <w:szCs w:val="24"/>
        </w:rPr>
        <w:t>o limitaciones</w:t>
      </w:r>
      <w:r w:rsidRPr="00F31B1C">
        <w:rPr>
          <w:rFonts w:ascii="Calibri" w:hAnsi="Calibri" w:cs="Calibri"/>
          <w:sz w:val="24"/>
          <w:szCs w:val="24"/>
        </w:rPr>
        <w:t xml:space="preserve"> en la creación de empleo urbano formal. Estos resultados resaltan la importancia de diseñar </w:t>
      </w:r>
      <w:r w:rsidR="00651384">
        <w:rPr>
          <w:rFonts w:ascii="Calibri" w:hAnsi="Calibri" w:cs="Calibri"/>
          <w:sz w:val="24"/>
          <w:szCs w:val="24"/>
        </w:rPr>
        <w:t>programas o proyectos</w:t>
      </w:r>
      <w:r w:rsidRPr="00F31B1C">
        <w:rPr>
          <w:rFonts w:ascii="Calibri" w:hAnsi="Calibri" w:cs="Calibri"/>
          <w:sz w:val="24"/>
          <w:szCs w:val="24"/>
        </w:rPr>
        <w:t xml:space="preserve"> diferenciadas por territorio que reconozcan las dinámicas particulares del empleo rural y urbano en el departamento.</w:t>
      </w:r>
    </w:p>
    <w:p w14:paraId="20455F2A" w14:textId="77777777" w:rsidR="00B54799" w:rsidRDefault="00B54799" w:rsidP="001D31F7">
      <w:pPr>
        <w:spacing w:after="0" w:line="240" w:lineRule="auto"/>
        <w:jc w:val="both"/>
        <w:rPr>
          <w:rFonts w:ascii="Calibri" w:hAnsi="Calibri" w:cs="Calibri"/>
          <w:sz w:val="24"/>
          <w:szCs w:val="24"/>
        </w:rPr>
      </w:pPr>
    </w:p>
    <w:p w14:paraId="312DCB2C" w14:textId="7E1311CA" w:rsidR="009E0F87" w:rsidRPr="00037088" w:rsidRDefault="009E0F87" w:rsidP="001D31F7">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sidR="00610853">
        <w:rPr>
          <w:rFonts w:ascii="Calibri" w:hAnsi="Calibri" w:cs="Calibri"/>
          <w:b/>
          <w:bCs/>
          <w:sz w:val="24"/>
          <w:szCs w:val="24"/>
        </w:rPr>
        <w:t>4</w:t>
      </w:r>
      <w:r w:rsidRPr="00037088">
        <w:rPr>
          <w:rFonts w:ascii="Calibri" w:hAnsi="Calibri" w:cs="Calibri"/>
          <w:b/>
          <w:bCs/>
          <w:sz w:val="24"/>
          <w:szCs w:val="24"/>
        </w:rPr>
        <w:t xml:space="preserve">. </w:t>
      </w:r>
      <w:r w:rsidRPr="00037088">
        <w:rPr>
          <w:rFonts w:ascii="Calibri" w:hAnsi="Calibri" w:cs="Calibri"/>
          <w:sz w:val="24"/>
          <w:szCs w:val="24"/>
        </w:rPr>
        <w:t xml:space="preserve">Tasa </w:t>
      </w:r>
      <w:r>
        <w:rPr>
          <w:rFonts w:ascii="Calibri" w:hAnsi="Calibri" w:cs="Calibri"/>
          <w:sz w:val="24"/>
          <w:szCs w:val="24"/>
        </w:rPr>
        <w:t xml:space="preserve">de </w:t>
      </w:r>
      <w:r w:rsidR="00F86DF4">
        <w:rPr>
          <w:rFonts w:ascii="Calibri" w:hAnsi="Calibri" w:cs="Calibri"/>
          <w:sz w:val="24"/>
          <w:szCs w:val="24"/>
        </w:rPr>
        <w:t>O</w:t>
      </w:r>
      <w:r>
        <w:rPr>
          <w:rFonts w:ascii="Calibri" w:hAnsi="Calibri" w:cs="Calibri"/>
          <w:sz w:val="24"/>
          <w:szCs w:val="24"/>
        </w:rPr>
        <w:t>cupación</w:t>
      </w:r>
      <w:r w:rsidRPr="00037088">
        <w:rPr>
          <w:rFonts w:ascii="Calibri" w:hAnsi="Calibri" w:cs="Calibri"/>
          <w:sz w:val="24"/>
          <w:szCs w:val="24"/>
        </w:rPr>
        <w:t xml:space="preserve"> (</w:t>
      </w:r>
      <w:proofErr w:type="spellStart"/>
      <w:r w:rsidRPr="00037088">
        <w:rPr>
          <w:rFonts w:ascii="Calibri" w:hAnsi="Calibri" w:cs="Calibri"/>
          <w:sz w:val="24"/>
          <w:szCs w:val="24"/>
        </w:rPr>
        <w:t>T</w:t>
      </w:r>
      <w:r w:rsidR="00F86DF4">
        <w:rPr>
          <w:rFonts w:ascii="Calibri" w:hAnsi="Calibri" w:cs="Calibri"/>
          <w:sz w:val="24"/>
          <w:szCs w:val="24"/>
        </w:rPr>
        <w:t>O</w:t>
      </w:r>
      <w:proofErr w:type="spellEnd"/>
      <w:r w:rsidRPr="00037088">
        <w:rPr>
          <w:rFonts w:ascii="Calibri" w:hAnsi="Calibri" w:cs="Calibri"/>
          <w:sz w:val="24"/>
          <w:szCs w:val="24"/>
        </w:rPr>
        <w:t>)</w:t>
      </w:r>
      <w:r>
        <w:rPr>
          <w:rFonts w:ascii="Calibri" w:hAnsi="Calibri" w:cs="Calibri"/>
          <w:sz w:val="24"/>
          <w:szCs w:val="24"/>
        </w:rPr>
        <w:t xml:space="preserve"> según área geográfica</w:t>
      </w:r>
      <w:r w:rsidR="00C376BF">
        <w:rPr>
          <w:rFonts w:ascii="Calibri" w:hAnsi="Calibri" w:cs="Calibri"/>
          <w:sz w:val="24"/>
          <w:szCs w:val="24"/>
        </w:rPr>
        <w:t xml:space="preserve"> - </w:t>
      </w:r>
      <w:r w:rsidRPr="00037088">
        <w:rPr>
          <w:rFonts w:ascii="Calibri" w:hAnsi="Calibri" w:cs="Calibri"/>
          <w:sz w:val="24"/>
          <w:szCs w:val="24"/>
        </w:rPr>
        <w:t>Cauca</w:t>
      </w:r>
      <w:r>
        <w:rPr>
          <w:rFonts w:ascii="Calibri" w:hAnsi="Calibri" w:cs="Calibri"/>
          <w:sz w:val="24"/>
          <w:szCs w:val="24"/>
        </w:rPr>
        <w:t>,</w:t>
      </w:r>
      <w:r w:rsidRPr="00037088">
        <w:rPr>
          <w:rFonts w:ascii="Calibri" w:hAnsi="Calibri" w:cs="Calibri"/>
          <w:sz w:val="24"/>
          <w:szCs w:val="24"/>
        </w:rPr>
        <w:t xml:space="preserve"> </w:t>
      </w:r>
      <w:r>
        <w:rPr>
          <w:rFonts w:ascii="Calibri" w:hAnsi="Calibri" w:cs="Calibri"/>
          <w:sz w:val="24"/>
          <w:szCs w:val="24"/>
        </w:rPr>
        <w:t>años</w:t>
      </w:r>
      <w:r w:rsidRPr="00037088">
        <w:rPr>
          <w:rFonts w:ascii="Calibri" w:hAnsi="Calibri" w:cs="Calibri"/>
          <w:sz w:val="24"/>
          <w:szCs w:val="24"/>
        </w:rPr>
        <w:t xml:space="preserve"> 2020 </w:t>
      </w:r>
      <w:r>
        <w:rPr>
          <w:rFonts w:ascii="Calibri" w:hAnsi="Calibri" w:cs="Calibri"/>
          <w:sz w:val="24"/>
          <w:szCs w:val="24"/>
        </w:rPr>
        <w:t xml:space="preserve">a </w:t>
      </w:r>
      <w:r w:rsidRPr="00037088">
        <w:rPr>
          <w:rFonts w:ascii="Calibri" w:hAnsi="Calibri" w:cs="Calibri"/>
          <w:sz w:val="24"/>
          <w:szCs w:val="24"/>
        </w:rPr>
        <w:t>2024</w:t>
      </w:r>
      <w:r>
        <w:rPr>
          <w:rFonts w:ascii="Calibri" w:hAnsi="Calibri" w:cs="Calibri"/>
          <w:sz w:val="24"/>
          <w:szCs w:val="24"/>
        </w:rPr>
        <w:t>.</w:t>
      </w:r>
    </w:p>
    <w:p w14:paraId="45D0D8EC" w14:textId="5BAC9C79" w:rsidR="009E0F87" w:rsidRDefault="00B22AA8" w:rsidP="001D31F7">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49799B8D" wp14:editId="700776E5">
            <wp:extent cx="4477496" cy="2689860"/>
            <wp:effectExtent l="0" t="0" r="0" b="0"/>
            <wp:docPr id="123622110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4984" cy="2706373"/>
                    </a:xfrm>
                    <a:prstGeom prst="rect">
                      <a:avLst/>
                    </a:prstGeom>
                    <a:noFill/>
                  </pic:spPr>
                </pic:pic>
              </a:graphicData>
            </a:graphic>
          </wp:inline>
        </w:drawing>
      </w:r>
    </w:p>
    <w:p w14:paraId="637A212E" w14:textId="77777777" w:rsidR="00762630" w:rsidRDefault="00762630" w:rsidP="001D31F7">
      <w:pPr>
        <w:spacing w:after="0" w:line="240" w:lineRule="auto"/>
        <w:jc w:val="both"/>
        <w:rPr>
          <w:rFonts w:ascii="Calibri" w:hAnsi="Calibri" w:cs="Calibri"/>
          <w:b/>
          <w:bCs/>
          <w:sz w:val="24"/>
          <w:szCs w:val="24"/>
        </w:rPr>
      </w:pPr>
    </w:p>
    <w:p w14:paraId="4E9925A2" w14:textId="7908D902" w:rsidR="00E14F85" w:rsidRPr="00037088" w:rsidRDefault="00E14F85" w:rsidP="001D31F7">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64458B3F" w14:textId="77777777" w:rsidR="00E14F85" w:rsidRDefault="00E14F85" w:rsidP="001D31F7">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4D172281" w14:textId="77777777" w:rsidR="009E0F87" w:rsidRDefault="009E0F87" w:rsidP="001D31F7">
      <w:pPr>
        <w:spacing w:after="0" w:line="240" w:lineRule="auto"/>
        <w:jc w:val="both"/>
        <w:rPr>
          <w:rFonts w:ascii="Calibri" w:hAnsi="Calibri" w:cs="Calibri"/>
          <w:sz w:val="24"/>
          <w:szCs w:val="24"/>
        </w:rPr>
      </w:pPr>
    </w:p>
    <w:p w14:paraId="7BBF779A" w14:textId="77777777" w:rsidR="0021185C" w:rsidRDefault="0021185C" w:rsidP="001D31F7">
      <w:pPr>
        <w:spacing w:after="0" w:line="240" w:lineRule="auto"/>
        <w:jc w:val="both"/>
        <w:rPr>
          <w:rFonts w:ascii="Calibri" w:hAnsi="Calibri" w:cs="Calibri"/>
          <w:sz w:val="24"/>
          <w:szCs w:val="24"/>
        </w:rPr>
      </w:pPr>
    </w:p>
    <w:p w14:paraId="66F0840C" w14:textId="77777777" w:rsidR="001A5899" w:rsidRDefault="001D31F7" w:rsidP="001A5899">
      <w:pPr>
        <w:spacing w:after="0" w:line="240" w:lineRule="auto"/>
        <w:jc w:val="both"/>
        <w:rPr>
          <w:rFonts w:ascii="Calibri" w:hAnsi="Calibri" w:cs="Calibri"/>
          <w:sz w:val="24"/>
          <w:szCs w:val="24"/>
        </w:rPr>
      </w:pPr>
      <w:r w:rsidRPr="001D31F7">
        <w:rPr>
          <w:rFonts w:ascii="Calibri" w:hAnsi="Calibri" w:cs="Calibri"/>
          <w:sz w:val="24"/>
          <w:szCs w:val="24"/>
        </w:rPr>
        <w:t xml:space="preserve">La </w:t>
      </w:r>
      <w:r w:rsidRPr="00D5665F">
        <w:rPr>
          <w:rFonts w:ascii="Calibri" w:hAnsi="Calibri" w:cs="Calibri"/>
          <w:b/>
          <w:bCs/>
          <w:sz w:val="24"/>
          <w:szCs w:val="24"/>
        </w:rPr>
        <w:t>Tasa de Desocupación (</w:t>
      </w:r>
      <w:proofErr w:type="spellStart"/>
      <w:r w:rsidRPr="00D5665F">
        <w:rPr>
          <w:rFonts w:ascii="Calibri" w:hAnsi="Calibri" w:cs="Calibri"/>
          <w:b/>
          <w:bCs/>
          <w:sz w:val="24"/>
          <w:szCs w:val="24"/>
        </w:rPr>
        <w:t>TD</w:t>
      </w:r>
      <w:proofErr w:type="spellEnd"/>
      <w:r w:rsidRPr="00D5665F">
        <w:rPr>
          <w:rFonts w:ascii="Calibri" w:hAnsi="Calibri" w:cs="Calibri"/>
          <w:b/>
          <w:bCs/>
          <w:sz w:val="24"/>
          <w:szCs w:val="24"/>
        </w:rPr>
        <w:t>)</w:t>
      </w:r>
      <w:r w:rsidR="00D5665F">
        <w:rPr>
          <w:rFonts w:ascii="Calibri" w:hAnsi="Calibri" w:cs="Calibri"/>
          <w:sz w:val="24"/>
          <w:szCs w:val="24"/>
        </w:rPr>
        <w:t xml:space="preserve"> </w:t>
      </w:r>
      <w:r w:rsidRPr="001D31F7">
        <w:rPr>
          <w:rFonts w:ascii="Calibri" w:hAnsi="Calibri" w:cs="Calibri"/>
          <w:sz w:val="24"/>
          <w:szCs w:val="24"/>
        </w:rPr>
        <w:t xml:space="preserve">muestra una brecha territorial persistente entre las zonas urbanas y rurales. En las cabeceras municipales, aunque la desocupación disminuyó de 19,6% en 2020 a 11,2% en 2023, presentó un leve repunte en 2024, alcanzando 12,2%, lo que indica cierta inestabilidad en la recuperación del empleo urbano. </w:t>
      </w:r>
    </w:p>
    <w:p w14:paraId="3FA544AC" w14:textId="77777777" w:rsidR="001A5899" w:rsidRDefault="001A5899" w:rsidP="001A5899">
      <w:pPr>
        <w:spacing w:after="0" w:line="240" w:lineRule="auto"/>
        <w:jc w:val="both"/>
        <w:rPr>
          <w:rFonts w:ascii="Calibri" w:hAnsi="Calibri" w:cs="Calibri"/>
          <w:sz w:val="24"/>
          <w:szCs w:val="24"/>
        </w:rPr>
      </w:pPr>
    </w:p>
    <w:p w14:paraId="227BD472" w14:textId="34069BB3" w:rsidR="00D5665F" w:rsidRDefault="001D31F7" w:rsidP="001A5899">
      <w:pPr>
        <w:spacing w:after="0" w:line="240" w:lineRule="auto"/>
        <w:jc w:val="both"/>
        <w:rPr>
          <w:rFonts w:ascii="Calibri" w:hAnsi="Calibri" w:cs="Calibri"/>
          <w:sz w:val="24"/>
          <w:szCs w:val="24"/>
        </w:rPr>
      </w:pPr>
      <w:r w:rsidRPr="001D31F7">
        <w:rPr>
          <w:rFonts w:ascii="Calibri" w:hAnsi="Calibri" w:cs="Calibri"/>
          <w:sz w:val="24"/>
          <w:szCs w:val="24"/>
        </w:rPr>
        <w:t xml:space="preserve">Por el contrario, en los centros poblados y el sector rural disperso, la tasa se redujo de forma más constante, pasando de 11,2% en 2020 a 6,0% en 2024, con su punto más bajo en 2023 (5,4%). </w:t>
      </w:r>
    </w:p>
    <w:p w14:paraId="1FBFFB02" w14:textId="77777777" w:rsidR="001A5899" w:rsidRDefault="001A5899" w:rsidP="001A5899">
      <w:pPr>
        <w:spacing w:after="0" w:line="240" w:lineRule="auto"/>
        <w:jc w:val="both"/>
        <w:rPr>
          <w:rFonts w:ascii="Calibri" w:hAnsi="Calibri" w:cs="Calibri"/>
          <w:sz w:val="24"/>
          <w:szCs w:val="24"/>
        </w:rPr>
      </w:pPr>
    </w:p>
    <w:p w14:paraId="0DCF7D16" w14:textId="77777777" w:rsidR="00D5665F" w:rsidRDefault="001D31F7" w:rsidP="001A5899">
      <w:pPr>
        <w:spacing w:after="0" w:line="240" w:lineRule="auto"/>
        <w:jc w:val="both"/>
        <w:rPr>
          <w:rFonts w:ascii="Calibri" w:hAnsi="Calibri" w:cs="Calibri"/>
          <w:sz w:val="24"/>
          <w:szCs w:val="24"/>
        </w:rPr>
      </w:pPr>
      <w:r w:rsidRPr="001D31F7">
        <w:rPr>
          <w:rFonts w:ascii="Calibri" w:hAnsi="Calibri" w:cs="Calibri"/>
          <w:sz w:val="24"/>
          <w:szCs w:val="24"/>
        </w:rPr>
        <w:t xml:space="preserve">Esta diferencia sugiere que el empleo rural no solo se ha recuperado con mayor rapidez, sino que ha sido más resiliente ante los choques económicos recientes. Sin embargo, esta aparente fortaleza podría estar relacionada con la informalidad y la precariedad laboral, más que con la generación de empleo de calidad. </w:t>
      </w:r>
    </w:p>
    <w:p w14:paraId="3CB63951" w14:textId="77777777" w:rsidR="001A5899" w:rsidRDefault="001A5899" w:rsidP="001A5899">
      <w:pPr>
        <w:spacing w:after="0" w:line="240" w:lineRule="auto"/>
        <w:jc w:val="both"/>
        <w:rPr>
          <w:rFonts w:ascii="Calibri" w:hAnsi="Calibri" w:cs="Calibri"/>
          <w:sz w:val="24"/>
          <w:szCs w:val="24"/>
        </w:rPr>
      </w:pPr>
    </w:p>
    <w:p w14:paraId="7FAB7DAD" w14:textId="5FB96BD7" w:rsidR="001D31F7" w:rsidRPr="001D31F7" w:rsidRDefault="001D31F7" w:rsidP="00D5665F">
      <w:pPr>
        <w:spacing w:after="0" w:line="240" w:lineRule="auto"/>
        <w:jc w:val="both"/>
        <w:rPr>
          <w:rFonts w:ascii="Calibri" w:hAnsi="Calibri" w:cs="Calibri"/>
          <w:sz w:val="24"/>
          <w:szCs w:val="24"/>
        </w:rPr>
      </w:pPr>
      <w:r w:rsidRPr="001D31F7">
        <w:rPr>
          <w:rFonts w:ascii="Calibri" w:hAnsi="Calibri" w:cs="Calibri"/>
          <w:sz w:val="24"/>
          <w:szCs w:val="24"/>
        </w:rPr>
        <w:t xml:space="preserve">El contraste entre ambas zonas refleja la necesidad de </w:t>
      </w:r>
      <w:r w:rsidR="00432FFC">
        <w:rPr>
          <w:rFonts w:ascii="Calibri" w:hAnsi="Calibri" w:cs="Calibri"/>
          <w:sz w:val="24"/>
          <w:szCs w:val="24"/>
        </w:rPr>
        <w:t>programas o proyectos</w:t>
      </w:r>
      <w:r w:rsidRPr="001D31F7">
        <w:rPr>
          <w:rFonts w:ascii="Calibri" w:hAnsi="Calibri" w:cs="Calibri"/>
          <w:sz w:val="24"/>
          <w:szCs w:val="24"/>
        </w:rPr>
        <w:t xml:space="preserve"> diferenciad</w:t>
      </w:r>
      <w:r w:rsidR="00432FFC">
        <w:rPr>
          <w:rFonts w:ascii="Calibri" w:hAnsi="Calibri" w:cs="Calibri"/>
          <w:sz w:val="24"/>
          <w:szCs w:val="24"/>
        </w:rPr>
        <w:t>o</w:t>
      </w:r>
      <w:r w:rsidRPr="001D31F7">
        <w:rPr>
          <w:rFonts w:ascii="Calibri" w:hAnsi="Calibri" w:cs="Calibri"/>
          <w:sz w:val="24"/>
          <w:szCs w:val="24"/>
        </w:rPr>
        <w:t>s que impulsen el empleo formal y sostenible en las cabeceras, al tiempo que fortalezcan las oportunidades laborales rurales con mejores condiciones y acceso a protección social.</w:t>
      </w:r>
    </w:p>
    <w:p w14:paraId="1E0D854C" w14:textId="77777777" w:rsidR="0021185C" w:rsidRDefault="0021185C" w:rsidP="001D31F7">
      <w:pPr>
        <w:spacing w:after="0" w:line="240" w:lineRule="auto"/>
        <w:jc w:val="both"/>
        <w:rPr>
          <w:rFonts w:ascii="Calibri" w:hAnsi="Calibri" w:cs="Calibri"/>
          <w:sz w:val="24"/>
          <w:szCs w:val="24"/>
        </w:rPr>
      </w:pPr>
    </w:p>
    <w:p w14:paraId="577009FD" w14:textId="77777777" w:rsidR="0021185C" w:rsidRDefault="0021185C" w:rsidP="001D31F7">
      <w:pPr>
        <w:spacing w:after="0" w:line="240" w:lineRule="auto"/>
        <w:jc w:val="both"/>
        <w:rPr>
          <w:rFonts w:ascii="Calibri" w:hAnsi="Calibri" w:cs="Calibri"/>
          <w:sz w:val="24"/>
          <w:szCs w:val="24"/>
        </w:rPr>
      </w:pPr>
    </w:p>
    <w:p w14:paraId="20585D87" w14:textId="77777777" w:rsidR="00762630" w:rsidRDefault="00762630" w:rsidP="001D31F7">
      <w:pPr>
        <w:spacing w:after="0" w:line="240" w:lineRule="auto"/>
        <w:jc w:val="both"/>
        <w:rPr>
          <w:rFonts w:ascii="Calibri" w:hAnsi="Calibri" w:cs="Calibri"/>
          <w:sz w:val="24"/>
          <w:szCs w:val="24"/>
        </w:rPr>
      </w:pPr>
    </w:p>
    <w:p w14:paraId="341F9CDA" w14:textId="77777777" w:rsidR="00D5665F" w:rsidRDefault="00D5665F" w:rsidP="001D31F7">
      <w:pPr>
        <w:spacing w:after="0" w:line="240" w:lineRule="auto"/>
        <w:jc w:val="both"/>
        <w:rPr>
          <w:rFonts w:ascii="Calibri" w:hAnsi="Calibri" w:cs="Calibri"/>
          <w:sz w:val="24"/>
          <w:szCs w:val="24"/>
        </w:rPr>
      </w:pPr>
    </w:p>
    <w:p w14:paraId="4F85F1B0" w14:textId="6CF3F5AE" w:rsidR="00F86DF4" w:rsidRPr="00037088" w:rsidRDefault="00F86DF4" w:rsidP="001D31F7">
      <w:pPr>
        <w:spacing w:after="0" w:line="240" w:lineRule="auto"/>
        <w:jc w:val="both"/>
        <w:rPr>
          <w:rFonts w:ascii="Calibri" w:hAnsi="Calibri" w:cs="Calibri"/>
          <w:sz w:val="24"/>
          <w:szCs w:val="24"/>
        </w:rPr>
      </w:pPr>
      <w:r w:rsidRPr="00037088">
        <w:rPr>
          <w:rFonts w:ascii="Calibri" w:hAnsi="Calibri" w:cs="Calibri"/>
          <w:b/>
          <w:bCs/>
          <w:sz w:val="24"/>
          <w:szCs w:val="24"/>
        </w:rPr>
        <w:lastRenderedPageBreak/>
        <w:t xml:space="preserve">Gráfico </w:t>
      </w:r>
      <w:r>
        <w:rPr>
          <w:rFonts w:ascii="Calibri" w:hAnsi="Calibri" w:cs="Calibri"/>
          <w:b/>
          <w:bCs/>
          <w:sz w:val="24"/>
          <w:szCs w:val="24"/>
        </w:rPr>
        <w:t>5</w:t>
      </w:r>
      <w:r w:rsidRPr="00037088">
        <w:rPr>
          <w:rFonts w:ascii="Calibri" w:hAnsi="Calibri" w:cs="Calibri"/>
          <w:b/>
          <w:bCs/>
          <w:sz w:val="24"/>
          <w:szCs w:val="24"/>
        </w:rPr>
        <w:t xml:space="preserve">. </w:t>
      </w:r>
      <w:r w:rsidRPr="00037088">
        <w:rPr>
          <w:rFonts w:ascii="Calibri" w:hAnsi="Calibri" w:cs="Calibri"/>
          <w:sz w:val="24"/>
          <w:szCs w:val="24"/>
        </w:rPr>
        <w:t xml:space="preserve">Tasa </w:t>
      </w:r>
      <w:r>
        <w:rPr>
          <w:rFonts w:ascii="Calibri" w:hAnsi="Calibri" w:cs="Calibri"/>
          <w:sz w:val="24"/>
          <w:szCs w:val="24"/>
        </w:rPr>
        <w:t xml:space="preserve">de </w:t>
      </w:r>
      <w:r w:rsidR="00F45283">
        <w:rPr>
          <w:rFonts w:ascii="Calibri" w:hAnsi="Calibri" w:cs="Calibri"/>
          <w:sz w:val="24"/>
          <w:szCs w:val="24"/>
        </w:rPr>
        <w:t>Deso</w:t>
      </w:r>
      <w:r>
        <w:rPr>
          <w:rFonts w:ascii="Calibri" w:hAnsi="Calibri" w:cs="Calibri"/>
          <w:sz w:val="24"/>
          <w:szCs w:val="24"/>
        </w:rPr>
        <w:t>cupación</w:t>
      </w:r>
      <w:r w:rsidRPr="00037088">
        <w:rPr>
          <w:rFonts w:ascii="Calibri" w:hAnsi="Calibri" w:cs="Calibri"/>
          <w:sz w:val="24"/>
          <w:szCs w:val="24"/>
        </w:rPr>
        <w:t xml:space="preserve"> (</w:t>
      </w:r>
      <w:proofErr w:type="spellStart"/>
      <w:r w:rsidRPr="00037088">
        <w:rPr>
          <w:rFonts w:ascii="Calibri" w:hAnsi="Calibri" w:cs="Calibri"/>
          <w:sz w:val="24"/>
          <w:szCs w:val="24"/>
        </w:rPr>
        <w:t>T</w:t>
      </w:r>
      <w:r>
        <w:rPr>
          <w:rFonts w:ascii="Calibri" w:hAnsi="Calibri" w:cs="Calibri"/>
          <w:sz w:val="24"/>
          <w:szCs w:val="24"/>
        </w:rPr>
        <w:t>D</w:t>
      </w:r>
      <w:proofErr w:type="spellEnd"/>
      <w:r w:rsidRPr="00037088">
        <w:rPr>
          <w:rFonts w:ascii="Calibri" w:hAnsi="Calibri" w:cs="Calibri"/>
          <w:sz w:val="24"/>
          <w:szCs w:val="24"/>
        </w:rPr>
        <w:t>)</w:t>
      </w:r>
      <w:r>
        <w:rPr>
          <w:rFonts w:ascii="Calibri" w:hAnsi="Calibri" w:cs="Calibri"/>
          <w:sz w:val="24"/>
          <w:szCs w:val="24"/>
        </w:rPr>
        <w:t xml:space="preserve"> según área geográfica</w:t>
      </w:r>
      <w:r w:rsidR="00423B6C">
        <w:rPr>
          <w:rFonts w:ascii="Calibri" w:hAnsi="Calibri" w:cs="Calibri"/>
          <w:sz w:val="24"/>
          <w:szCs w:val="24"/>
        </w:rPr>
        <w:t xml:space="preserve"> - </w:t>
      </w:r>
      <w:r w:rsidRPr="00037088">
        <w:rPr>
          <w:rFonts w:ascii="Calibri" w:hAnsi="Calibri" w:cs="Calibri"/>
          <w:sz w:val="24"/>
          <w:szCs w:val="24"/>
        </w:rPr>
        <w:t>Cauca</w:t>
      </w:r>
      <w:r>
        <w:rPr>
          <w:rFonts w:ascii="Calibri" w:hAnsi="Calibri" w:cs="Calibri"/>
          <w:sz w:val="24"/>
          <w:szCs w:val="24"/>
        </w:rPr>
        <w:t>,</w:t>
      </w:r>
      <w:r w:rsidRPr="00037088">
        <w:rPr>
          <w:rFonts w:ascii="Calibri" w:hAnsi="Calibri" w:cs="Calibri"/>
          <w:sz w:val="24"/>
          <w:szCs w:val="24"/>
        </w:rPr>
        <w:t xml:space="preserve"> </w:t>
      </w:r>
      <w:r>
        <w:rPr>
          <w:rFonts w:ascii="Calibri" w:hAnsi="Calibri" w:cs="Calibri"/>
          <w:sz w:val="24"/>
          <w:szCs w:val="24"/>
        </w:rPr>
        <w:t>años</w:t>
      </w:r>
      <w:r w:rsidRPr="00037088">
        <w:rPr>
          <w:rFonts w:ascii="Calibri" w:hAnsi="Calibri" w:cs="Calibri"/>
          <w:sz w:val="24"/>
          <w:szCs w:val="24"/>
        </w:rPr>
        <w:t xml:space="preserve"> 2020 </w:t>
      </w:r>
      <w:r>
        <w:rPr>
          <w:rFonts w:ascii="Calibri" w:hAnsi="Calibri" w:cs="Calibri"/>
          <w:sz w:val="24"/>
          <w:szCs w:val="24"/>
        </w:rPr>
        <w:t xml:space="preserve">a </w:t>
      </w:r>
      <w:r w:rsidRPr="00037088">
        <w:rPr>
          <w:rFonts w:ascii="Calibri" w:hAnsi="Calibri" w:cs="Calibri"/>
          <w:sz w:val="24"/>
          <w:szCs w:val="24"/>
        </w:rPr>
        <w:t>2024</w:t>
      </w:r>
      <w:r>
        <w:rPr>
          <w:rFonts w:ascii="Calibri" w:hAnsi="Calibri" w:cs="Calibri"/>
          <w:sz w:val="24"/>
          <w:szCs w:val="24"/>
        </w:rPr>
        <w:t>.</w:t>
      </w:r>
    </w:p>
    <w:p w14:paraId="313ACEE6" w14:textId="1DDF1F5C" w:rsidR="00820073" w:rsidRDefault="003F67FE" w:rsidP="00D5665F">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3327C746" wp14:editId="3644C2E4">
            <wp:extent cx="4696734" cy="2811780"/>
            <wp:effectExtent l="0" t="0" r="8890" b="7620"/>
            <wp:docPr id="90469077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8285" cy="2824682"/>
                    </a:xfrm>
                    <a:prstGeom prst="rect">
                      <a:avLst/>
                    </a:prstGeom>
                    <a:noFill/>
                  </pic:spPr>
                </pic:pic>
              </a:graphicData>
            </a:graphic>
          </wp:inline>
        </w:drawing>
      </w:r>
    </w:p>
    <w:p w14:paraId="439AA3B5" w14:textId="77777777" w:rsidR="00762630" w:rsidRDefault="00762630" w:rsidP="00D5665F">
      <w:pPr>
        <w:spacing w:after="0" w:line="240" w:lineRule="auto"/>
        <w:jc w:val="both"/>
        <w:rPr>
          <w:rFonts w:ascii="Calibri" w:hAnsi="Calibri" w:cs="Calibri"/>
          <w:b/>
          <w:bCs/>
          <w:sz w:val="24"/>
          <w:szCs w:val="24"/>
        </w:rPr>
      </w:pPr>
    </w:p>
    <w:p w14:paraId="0395231B" w14:textId="5F57BA80" w:rsidR="00D5665F" w:rsidRPr="00037088" w:rsidRDefault="00D5665F" w:rsidP="00D5665F">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0B7084AD" w14:textId="77777777" w:rsidR="00D5665F" w:rsidRDefault="00D5665F" w:rsidP="00D5665F">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49486842" w14:textId="77777777" w:rsidR="00F86DF4" w:rsidRDefault="00F86DF4" w:rsidP="001D31F7">
      <w:pPr>
        <w:spacing w:after="0" w:line="240" w:lineRule="auto"/>
        <w:jc w:val="both"/>
        <w:rPr>
          <w:rFonts w:ascii="Calibri" w:hAnsi="Calibri" w:cs="Calibri"/>
          <w:sz w:val="24"/>
          <w:szCs w:val="24"/>
        </w:rPr>
      </w:pPr>
    </w:p>
    <w:p w14:paraId="3B1BA281" w14:textId="77777777" w:rsidR="007446D1" w:rsidRDefault="007446D1" w:rsidP="001D31F7">
      <w:pPr>
        <w:spacing w:after="0" w:line="240" w:lineRule="auto"/>
        <w:jc w:val="both"/>
        <w:rPr>
          <w:rFonts w:ascii="Calibri" w:hAnsi="Calibri" w:cs="Calibri"/>
          <w:sz w:val="24"/>
          <w:szCs w:val="24"/>
        </w:rPr>
      </w:pPr>
    </w:p>
    <w:p w14:paraId="0D4953FE" w14:textId="134F080F" w:rsidR="000560F7" w:rsidRPr="0010106F" w:rsidRDefault="000560F7" w:rsidP="000560F7">
      <w:pPr>
        <w:spacing w:after="0" w:line="240" w:lineRule="auto"/>
        <w:jc w:val="both"/>
        <w:rPr>
          <w:rFonts w:ascii="Calibri" w:hAnsi="Calibri" w:cs="Calibri"/>
          <w:b/>
          <w:bCs/>
          <w:sz w:val="24"/>
          <w:szCs w:val="24"/>
        </w:rPr>
      </w:pPr>
      <w:r w:rsidRPr="0010106F">
        <w:rPr>
          <w:rFonts w:ascii="Calibri" w:hAnsi="Calibri" w:cs="Calibri"/>
          <w:b/>
          <w:bCs/>
          <w:sz w:val="24"/>
          <w:szCs w:val="24"/>
        </w:rPr>
        <w:t>1.</w:t>
      </w:r>
      <w:r>
        <w:rPr>
          <w:rFonts w:ascii="Calibri" w:hAnsi="Calibri" w:cs="Calibri"/>
          <w:b/>
          <w:bCs/>
          <w:sz w:val="24"/>
          <w:szCs w:val="24"/>
        </w:rPr>
        <w:t>4</w:t>
      </w:r>
      <w:r w:rsidRPr="0010106F">
        <w:rPr>
          <w:rFonts w:ascii="Calibri" w:hAnsi="Calibri" w:cs="Calibri"/>
          <w:b/>
          <w:bCs/>
          <w:sz w:val="24"/>
          <w:szCs w:val="24"/>
        </w:rPr>
        <w:t xml:space="preserve"> </w:t>
      </w:r>
      <w:r w:rsidR="00393EF6">
        <w:rPr>
          <w:rFonts w:ascii="Calibri" w:hAnsi="Calibri" w:cs="Calibri"/>
          <w:b/>
          <w:bCs/>
          <w:sz w:val="24"/>
          <w:szCs w:val="24"/>
        </w:rPr>
        <w:t>Número de personas ocupadas</w:t>
      </w:r>
      <w:r>
        <w:rPr>
          <w:rFonts w:ascii="Calibri" w:hAnsi="Calibri" w:cs="Calibri"/>
          <w:b/>
          <w:bCs/>
          <w:sz w:val="24"/>
          <w:szCs w:val="24"/>
        </w:rPr>
        <w:t>,</w:t>
      </w:r>
      <w:r w:rsidRPr="0010106F">
        <w:rPr>
          <w:rFonts w:ascii="Calibri" w:hAnsi="Calibri" w:cs="Calibri"/>
          <w:b/>
          <w:bCs/>
          <w:sz w:val="24"/>
          <w:szCs w:val="24"/>
        </w:rPr>
        <w:t xml:space="preserve"> según </w:t>
      </w:r>
      <w:r>
        <w:rPr>
          <w:rFonts w:ascii="Calibri" w:hAnsi="Calibri" w:cs="Calibri"/>
          <w:b/>
          <w:bCs/>
          <w:sz w:val="24"/>
          <w:szCs w:val="24"/>
        </w:rPr>
        <w:t>actividad económica</w:t>
      </w:r>
    </w:p>
    <w:p w14:paraId="6B19141D" w14:textId="77777777" w:rsidR="000560F7" w:rsidRDefault="000560F7" w:rsidP="001D31F7">
      <w:pPr>
        <w:spacing w:after="0" w:line="240" w:lineRule="auto"/>
        <w:jc w:val="both"/>
        <w:rPr>
          <w:rFonts w:ascii="Calibri" w:hAnsi="Calibri" w:cs="Calibri"/>
          <w:sz w:val="24"/>
          <w:szCs w:val="24"/>
        </w:rPr>
      </w:pPr>
    </w:p>
    <w:p w14:paraId="039813ED" w14:textId="4C1ACFE7" w:rsidR="00C87459" w:rsidRDefault="001930C0" w:rsidP="001D31F7">
      <w:pPr>
        <w:spacing w:after="0" w:line="240" w:lineRule="auto"/>
        <w:jc w:val="both"/>
        <w:rPr>
          <w:rFonts w:ascii="Calibri" w:hAnsi="Calibri" w:cs="Calibri"/>
          <w:sz w:val="24"/>
          <w:szCs w:val="24"/>
        </w:rPr>
      </w:pPr>
      <w:r w:rsidRPr="001930C0">
        <w:rPr>
          <w:rFonts w:ascii="Calibri" w:hAnsi="Calibri" w:cs="Calibri"/>
          <w:sz w:val="24"/>
          <w:szCs w:val="24"/>
        </w:rPr>
        <w:t xml:space="preserve">Entre 2020 y 2024, el número total de </w:t>
      </w:r>
      <w:r w:rsidRPr="00C87459">
        <w:rPr>
          <w:rFonts w:ascii="Calibri" w:hAnsi="Calibri" w:cs="Calibri"/>
          <w:b/>
          <w:bCs/>
          <w:sz w:val="24"/>
          <w:szCs w:val="24"/>
        </w:rPr>
        <w:t>personas ocupadas</w:t>
      </w:r>
      <w:r w:rsidRPr="001930C0">
        <w:rPr>
          <w:rFonts w:ascii="Calibri" w:hAnsi="Calibri" w:cs="Calibri"/>
          <w:sz w:val="24"/>
          <w:szCs w:val="24"/>
        </w:rPr>
        <w:t xml:space="preserve"> en el Cauca aumentó de 563 mil a 759 mil, lo que refleja un</w:t>
      </w:r>
      <w:r w:rsidR="00BF7419">
        <w:rPr>
          <w:rFonts w:ascii="Calibri" w:hAnsi="Calibri" w:cs="Calibri"/>
          <w:sz w:val="24"/>
          <w:szCs w:val="24"/>
        </w:rPr>
        <w:t xml:space="preserve"> incremento constante</w:t>
      </w:r>
      <w:r w:rsidRPr="001930C0">
        <w:rPr>
          <w:rFonts w:ascii="Calibri" w:hAnsi="Calibri" w:cs="Calibri"/>
          <w:sz w:val="24"/>
          <w:szCs w:val="24"/>
        </w:rPr>
        <w:t xml:space="preserve"> del mercado laboral. </w:t>
      </w:r>
    </w:p>
    <w:p w14:paraId="691960C1" w14:textId="77777777" w:rsidR="00C87459" w:rsidRDefault="00C87459" w:rsidP="001D31F7">
      <w:pPr>
        <w:spacing w:after="0" w:line="240" w:lineRule="auto"/>
        <w:jc w:val="both"/>
        <w:rPr>
          <w:rFonts w:ascii="Calibri" w:hAnsi="Calibri" w:cs="Calibri"/>
          <w:sz w:val="24"/>
          <w:szCs w:val="24"/>
        </w:rPr>
      </w:pPr>
    </w:p>
    <w:p w14:paraId="70D1875E" w14:textId="70C0F89F" w:rsidR="00C87459" w:rsidRDefault="001930C0" w:rsidP="001D31F7">
      <w:pPr>
        <w:spacing w:after="0" w:line="240" w:lineRule="auto"/>
        <w:jc w:val="both"/>
        <w:rPr>
          <w:rFonts w:ascii="Calibri" w:hAnsi="Calibri" w:cs="Calibri"/>
          <w:sz w:val="24"/>
          <w:szCs w:val="24"/>
        </w:rPr>
      </w:pPr>
      <w:r w:rsidRPr="001930C0">
        <w:rPr>
          <w:rFonts w:ascii="Calibri" w:hAnsi="Calibri" w:cs="Calibri"/>
          <w:sz w:val="24"/>
          <w:szCs w:val="24"/>
        </w:rPr>
        <w:t xml:space="preserve">La actividad con mayor concentración de empleo fue la agricultura, ganadería, caza, silvicultura y pesca, que pasó de 251 mil ocupados en 2020 a 346 mil en 2024, representando </w:t>
      </w:r>
      <w:r w:rsidR="009C6215">
        <w:rPr>
          <w:rFonts w:ascii="Calibri" w:hAnsi="Calibri" w:cs="Calibri"/>
          <w:sz w:val="24"/>
          <w:szCs w:val="24"/>
        </w:rPr>
        <w:t>de manera consistente</w:t>
      </w:r>
      <w:r w:rsidRPr="001930C0">
        <w:rPr>
          <w:rFonts w:ascii="Calibri" w:hAnsi="Calibri" w:cs="Calibri"/>
          <w:sz w:val="24"/>
          <w:szCs w:val="24"/>
        </w:rPr>
        <w:t xml:space="preserve"> cerca del 45% del empleo total, lo que resalta el carácter rural y </w:t>
      </w:r>
      <w:proofErr w:type="spellStart"/>
      <w:r w:rsidRPr="001930C0">
        <w:rPr>
          <w:rFonts w:ascii="Calibri" w:hAnsi="Calibri" w:cs="Calibri"/>
          <w:sz w:val="24"/>
          <w:szCs w:val="24"/>
        </w:rPr>
        <w:t>agroproductivo</w:t>
      </w:r>
      <w:proofErr w:type="spellEnd"/>
      <w:r w:rsidRPr="001930C0">
        <w:rPr>
          <w:rFonts w:ascii="Calibri" w:hAnsi="Calibri" w:cs="Calibri"/>
          <w:sz w:val="24"/>
          <w:szCs w:val="24"/>
        </w:rPr>
        <w:t xml:space="preserve"> del departamento. Le siguen el comercio y reparación de vehículos, que también creció, de 70 mil a 87 mil ocupados, y el sector de administración pública, educación y salud, que aunque mostró un aumento inicial, se estabilizó alrededor de los 66 mil ocupados en 2024. </w:t>
      </w:r>
    </w:p>
    <w:p w14:paraId="7688D545" w14:textId="77777777" w:rsidR="00C87459" w:rsidRDefault="00C87459" w:rsidP="001D31F7">
      <w:pPr>
        <w:spacing w:after="0" w:line="240" w:lineRule="auto"/>
        <w:jc w:val="both"/>
        <w:rPr>
          <w:rFonts w:ascii="Calibri" w:hAnsi="Calibri" w:cs="Calibri"/>
          <w:sz w:val="24"/>
          <w:szCs w:val="24"/>
        </w:rPr>
      </w:pPr>
    </w:p>
    <w:p w14:paraId="6757CCFC" w14:textId="1184EDE6" w:rsidR="00C87459" w:rsidRDefault="001930C0" w:rsidP="001D31F7">
      <w:pPr>
        <w:spacing w:after="0" w:line="240" w:lineRule="auto"/>
        <w:jc w:val="both"/>
        <w:rPr>
          <w:rFonts w:ascii="Calibri" w:hAnsi="Calibri" w:cs="Calibri"/>
          <w:sz w:val="24"/>
          <w:szCs w:val="24"/>
        </w:rPr>
      </w:pPr>
      <w:r w:rsidRPr="001930C0">
        <w:rPr>
          <w:rFonts w:ascii="Calibri" w:hAnsi="Calibri" w:cs="Calibri"/>
          <w:sz w:val="24"/>
          <w:szCs w:val="24"/>
        </w:rPr>
        <w:t xml:space="preserve">Actividades como las artísticas y recreativas y alojamiento y servicios de comida también incrementaron su participación, reflejando una recuperación del empleo ligado al sector terciario y de servicios tras la pandemia. Por otro lado, sectores como la industria manufacturera, la construcción y el transporte mostraron una evolución más moderada, mientras que ramas como actividades financieras, minería, suministro de servicios públicos y tecnologías de la información permanecen con niveles bajos de ocupación, </w:t>
      </w:r>
      <w:r w:rsidR="00F56D5C">
        <w:rPr>
          <w:rFonts w:ascii="Calibri" w:hAnsi="Calibri" w:cs="Calibri"/>
          <w:sz w:val="24"/>
          <w:szCs w:val="24"/>
        </w:rPr>
        <w:t>evidenciando</w:t>
      </w:r>
      <w:r w:rsidRPr="001930C0">
        <w:rPr>
          <w:rFonts w:ascii="Calibri" w:hAnsi="Calibri" w:cs="Calibri"/>
          <w:sz w:val="24"/>
          <w:szCs w:val="24"/>
        </w:rPr>
        <w:t xml:space="preserve"> la limitada diversificación económica del departamento. </w:t>
      </w:r>
    </w:p>
    <w:p w14:paraId="2F009B75" w14:textId="77777777" w:rsidR="00C87459" w:rsidRDefault="00C87459" w:rsidP="001D31F7">
      <w:pPr>
        <w:spacing w:after="0" w:line="240" w:lineRule="auto"/>
        <w:jc w:val="both"/>
        <w:rPr>
          <w:rFonts w:ascii="Calibri" w:hAnsi="Calibri" w:cs="Calibri"/>
          <w:sz w:val="24"/>
          <w:szCs w:val="24"/>
        </w:rPr>
      </w:pPr>
    </w:p>
    <w:p w14:paraId="01EE4380" w14:textId="77777777" w:rsidR="00C713B5" w:rsidRDefault="00C713B5" w:rsidP="001D31F7">
      <w:pPr>
        <w:spacing w:after="0" w:line="240" w:lineRule="auto"/>
        <w:jc w:val="both"/>
        <w:rPr>
          <w:rFonts w:ascii="Calibri" w:hAnsi="Calibri" w:cs="Calibri"/>
          <w:sz w:val="24"/>
          <w:szCs w:val="24"/>
        </w:rPr>
      </w:pPr>
    </w:p>
    <w:p w14:paraId="498199C8" w14:textId="77777777" w:rsidR="00C713B5" w:rsidRPr="00037088" w:rsidRDefault="00C87459" w:rsidP="00C713B5">
      <w:pPr>
        <w:spacing w:after="0" w:line="240" w:lineRule="auto"/>
        <w:jc w:val="both"/>
        <w:rPr>
          <w:rFonts w:ascii="Calibri" w:hAnsi="Calibri" w:cs="Calibri"/>
          <w:sz w:val="24"/>
          <w:szCs w:val="24"/>
        </w:rPr>
      </w:pPr>
      <w:r>
        <w:rPr>
          <w:rFonts w:ascii="Calibri" w:hAnsi="Calibri" w:cs="Calibri"/>
          <w:b/>
          <w:bCs/>
          <w:sz w:val="24"/>
          <w:szCs w:val="24"/>
        </w:rPr>
        <w:t>Tabla</w:t>
      </w:r>
      <w:r w:rsidRPr="00037088">
        <w:rPr>
          <w:rFonts w:ascii="Calibri" w:hAnsi="Calibri" w:cs="Calibri"/>
          <w:b/>
          <w:bCs/>
          <w:sz w:val="24"/>
          <w:szCs w:val="24"/>
        </w:rPr>
        <w:t xml:space="preserve"> </w:t>
      </w:r>
      <w:r>
        <w:rPr>
          <w:rFonts w:ascii="Calibri" w:hAnsi="Calibri" w:cs="Calibri"/>
          <w:b/>
          <w:bCs/>
          <w:sz w:val="24"/>
          <w:szCs w:val="24"/>
        </w:rPr>
        <w:t>1</w:t>
      </w:r>
      <w:r w:rsidRPr="00037088">
        <w:rPr>
          <w:rFonts w:ascii="Calibri" w:hAnsi="Calibri" w:cs="Calibri"/>
          <w:b/>
          <w:bCs/>
          <w:sz w:val="24"/>
          <w:szCs w:val="24"/>
        </w:rPr>
        <w:t xml:space="preserve">. </w:t>
      </w:r>
      <w:r w:rsidRPr="00C87459">
        <w:rPr>
          <w:rFonts w:ascii="Calibri" w:hAnsi="Calibri" w:cs="Calibri"/>
          <w:sz w:val="24"/>
          <w:szCs w:val="24"/>
        </w:rPr>
        <w:t xml:space="preserve">Población ocupada según ramas de actividad </w:t>
      </w:r>
      <w:proofErr w:type="spellStart"/>
      <w:r w:rsidRPr="00C87459">
        <w:rPr>
          <w:rFonts w:ascii="Calibri" w:hAnsi="Calibri" w:cs="Calibri"/>
          <w:sz w:val="24"/>
          <w:szCs w:val="24"/>
        </w:rPr>
        <w:t>CIIU</w:t>
      </w:r>
      <w:proofErr w:type="spellEnd"/>
      <w:r w:rsidRPr="00C87459">
        <w:rPr>
          <w:rFonts w:ascii="Calibri" w:hAnsi="Calibri" w:cs="Calibri"/>
          <w:sz w:val="24"/>
          <w:szCs w:val="24"/>
        </w:rPr>
        <w:t xml:space="preserve"> 4 A.C. (en miles)</w:t>
      </w:r>
      <w:r w:rsidR="00C713B5">
        <w:rPr>
          <w:rFonts w:ascii="Calibri" w:hAnsi="Calibri" w:cs="Calibri"/>
          <w:sz w:val="24"/>
          <w:szCs w:val="24"/>
        </w:rPr>
        <w:t xml:space="preserve"> – </w:t>
      </w:r>
      <w:r w:rsidR="00C713B5" w:rsidRPr="00037088">
        <w:rPr>
          <w:rFonts w:ascii="Calibri" w:hAnsi="Calibri" w:cs="Calibri"/>
          <w:sz w:val="24"/>
          <w:szCs w:val="24"/>
        </w:rPr>
        <w:t>Cauca</w:t>
      </w:r>
      <w:r w:rsidR="00C713B5">
        <w:rPr>
          <w:rFonts w:ascii="Calibri" w:hAnsi="Calibri" w:cs="Calibri"/>
          <w:sz w:val="24"/>
          <w:szCs w:val="24"/>
        </w:rPr>
        <w:t>,</w:t>
      </w:r>
      <w:r w:rsidR="00C713B5" w:rsidRPr="00037088">
        <w:rPr>
          <w:rFonts w:ascii="Calibri" w:hAnsi="Calibri" w:cs="Calibri"/>
          <w:sz w:val="24"/>
          <w:szCs w:val="24"/>
        </w:rPr>
        <w:t xml:space="preserve"> </w:t>
      </w:r>
      <w:r w:rsidR="00C713B5">
        <w:rPr>
          <w:rFonts w:ascii="Calibri" w:hAnsi="Calibri" w:cs="Calibri"/>
          <w:sz w:val="24"/>
          <w:szCs w:val="24"/>
        </w:rPr>
        <w:t>años</w:t>
      </w:r>
      <w:r w:rsidR="00C713B5" w:rsidRPr="00037088">
        <w:rPr>
          <w:rFonts w:ascii="Calibri" w:hAnsi="Calibri" w:cs="Calibri"/>
          <w:sz w:val="24"/>
          <w:szCs w:val="24"/>
        </w:rPr>
        <w:t xml:space="preserve"> 2020 </w:t>
      </w:r>
      <w:r w:rsidR="00C713B5">
        <w:rPr>
          <w:rFonts w:ascii="Calibri" w:hAnsi="Calibri" w:cs="Calibri"/>
          <w:sz w:val="24"/>
          <w:szCs w:val="24"/>
        </w:rPr>
        <w:t xml:space="preserve">a </w:t>
      </w:r>
      <w:r w:rsidR="00C713B5" w:rsidRPr="00037088">
        <w:rPr>
          <w:rFonts w:ascii="Calibri" w:hAnsi="Calibri" w:cs="Calibri"/>
          <w:sz w:val="24"/>
          <w:szCs w:val="24"/>
        </w:rPr>
        <w:t>2024</w:t>
      </w:r>
      <w:r w:rsidR="00C713B5">
        <w:rPr>
          <w:rFonts w:ascii="Calibri" w:hAnsi="Calibri" w:cs="Calibri"/>
          <w:sz w:val="24"/>
          <w:szCs w:val="24"/>
        </w:rPr>
        <w:t>.</w:t>
      </w:r>
    </w:p>
    <w:p w14:paraId="355097AD" w14:textId="77777777" w:rsidR="00C87459" w:rsidRDefault="00C87459" w:rsidP="00C87459">
      <w:pPr>
        <w:spacing w:after="0" w:line="240" w:lineRule="auto"/>
        <w:jc w:val="both"/>
        <w:rPr>
          <w:rFonts w:ascii="Calibri" w:hAnsi="Calibri" w:cs="Calibri"/>
          <w:sz w:val="24"/>
          <w:szCs w:val="24"/>
        </w:rPr>
      </w:pPr>
    </w:p>
    <w:p w14:paraId="7B64E755" w14:textId="73166B30" w:rsidR="008B6A52" w:rsidRDefault="008B6A52" w:rsidP="00C87459">
      <w:pPr>
        <w:spacing w:after="0" w:line="240" w:lineRule="auto"/>
        <w:jc w:val="both"/>
        <w:rPr>
          <w:rFonts w:ascii="Calibri" w:hAnsi="Calibri" w:cs="Calibri"/>
          <w:sz w:val="24"/>
          <w:szCs w:val="24"/>
        </w:rPr>
      </w:pPr>
      <w:r w:rsidRPr="008B6A52">
        <w:drawing>
          <wp:inline distT="0" distB="0" distL="0" distR="0" wp14:anchorId="05119011" wp14:editId="0220EEB7">
            <wp:extent cx="5759450" cy="3746500"/>
            <wp:effectExtent l="0" t="0" r="0" b="6350"/>
            <wp:docPr id="15106175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746500"/>
                    </a:xfrm>
                    <a:prstGeom prst="rect">
                      <a:avLst/>
                    </a:prstGeom>
                    <a:noFill/>
                    <a:ln>
                      <a:noFill/>
                    </a:ln>
                  </pic:spPr>
                </pic:pic>
              </a:graphicData>
            </a:graphic>
          </wp:inline>
        </w:drawing>
      </w:r>
    </w:p>
    <w:p w14:paraId="3F31A54C" w14:textId="77777777" w:rsidR="00C87459" w:rsidRDefault="00C87459" w:rsidP="00C87459">
      <w:pPr>
        <w:spacing w:after="0" w:line="240" w:lineRule="auto"/>
        <w:jc w:val="both"/>
        <w:rPr>
          <w:rFonts w:ascii="Calibri" w:hAnsi="Calibri" w:cs="Calibri"/>
          <w:sz w:val="24"/>
          <w:szCs w:val="24"/>
        </w:rPr>
      </w:pPr>
    </w:p>
    <w:p w14:paraId="01417445" w14:textId="77777777" w:rsidR="009E7CEE" w:rsidRPr="00037088" w:rsidRDefault="009E7CEE" w:rsidP="009E7CEE">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6D413260" w14:textId="59DB0220" w:rsidR="00C87459" w:rsidRDefault="009E7CEE" w:rsidP="00C87459">
      <w:pPr>
        <w:spacing w:after="0" w:line="240" w:lineRule="auto"/>
        <w:jc w:val="both"/>
        <w:rPr>
          <w:rFonts w:ascii="Calibri" w:hAnsi="Calibri" w:cs="Calibri"/>
          <w:sz w:val="24"/>
          <w:szCs w:val="24"/>
        </w:rPr>
      </w:pPr>
      <w:r w:rsidRPr="009E7CEE">
        <w:rPr>
          <w:rFonts w:ascii="Calibri" w:hAnsi="Calibri" w:cs="Calibri"/>
          <w:sz w:val="24"/>
          <w:szCs w:val="24"/>
        </w:rPr>
        <w:t>Nota: resultados en miles. Por efecto del redondeo en miles, los totales pueden diferir ligeramente</w:t>
      </w:r>
    </w:p>
    <w:p w14:paraId="3279FF71" w14:textId="77777777" w:rsidR="000560F7" w:rsidRDefault="000560F7" w:rsidP="001D31F7">
      <w:pPr>
        <w:spacing w:after="0" w:line="240" w:lineRule="auto"/>
        <w:jc w:val="both"/>
        <w:rPr>
          <w:rFonts w:ascii="Calibri" w:hAnsi="Calibri" w:cs="Calibri"/>
          <w:sz w:val="24"/>
          <w:szCs w:val="24"/>
        </w:rPr>
      </w:pPr>
    </w:p>
    <w:p w14:paraId="52586E1E" w14:textId="626B2BCC" w:rsidR="00E10A1A" w:rsidRPr="00E10A1A" w:rsidRDefault="00E10A1A" w:rsidP="00E10A1A">
      <w:pPr>
        <w:spacing w:after="0" w:line="240" w:lineRule="auto"/>
        <w:jc w:val="both"/>
        <w:rPr>
          <w:rFonts w:ascii="Calibri" w:hAnsi="Calibri" w:cs="Calibri"/>
          <w:sz w:val="24"/>
          <w:szCs w:val="24"/>
        </w:rPr>
      </w:pPr>
      <w:r w:rsidRPr="00E10A1A">
        <w:rPr>
          <w:rFonts w:ascii="Calibri" w:hAnsi="Calibri" w:cs="Calibri"/>
          <w:sz w:val="24"/>
          <w:szCs w:val="24"/>
        </w:rPr>
        <w:t>E</w:t>
      </w:r>
      <w:r>
        <w:rPr>
          <w:rFonts w:ascii="Calibri" w:hAnsi="Calibri" w:cs="Calibri"/>
          <w:sz w:val="24"/>
          <w:szCs w:val="24"/>
        </w:rPr>
        <w:t>specíficamente, e</w:t>
      </w:r>
      <w:r w:rsidRPr="00E10A1A">
        <w:rPr>
          <w:rFonts w:ascii="Calibri" w:hAnsi="Calibri" w:cs="Calibri"/>
          <w:sz w:val="24"/>
          <w:szCs w:val="24"/>
        </w:rPr>
        <w:t>l sector de la construcción</w:t>
      </w:r>
      <w:r>
        <w:rPr>
          <w:rFonts w:ascii="Calibri" w:hAnsi="Calibri" w:cs="Calibri"/>
          <w:sz w:val="24"/>
          <w:szCs w:val="24"/>
        </w:rPr>
        <w:t xml:space="preserve"> </w:t>
      </w:r>
      <w:r w:rsidRPr="00E10A1A">
        <w:rPr>
          <w:rFonts w:ascii="Calibri" w:hAnsi="Calibri" w:cs="Calibri"/>
          <w:sz w:val="24"/>
          <w:szCs w:val="24"/>
        </w:rPr>
        <w:t>presentó un comportamiento fluctuante durante el periodo 2020–2024. Luego de un repunte en 2021, donde el número de ocupados pasó de 29 mil en 2020 a 38 mil, el sector evidenció una leve caída en los años siguientes, cerrando 2024 con 32 mil ocupados. Este comportamiento sugiere que, aunque la construcción fue un sector clave en la etapa inicial de reactivación económica postpandemia, no logró mantener un crecimiento sostenido en el mediano plazo. Las variaciones pueden estar relacionadas con l</w:t>
      </w:r>
      <w:r>
        <w:rPr>
          <w:rFonts w:ascii="Calibri" w:hAnsi="Calibri" w:cs="Calibri"/>
          <w:sz w:val="24"/>
          <w:szCs w:val="24"/>
        </w:rPr>
        <w:t xml:space="preserve">os </w:t>
      </w:r>
      <w:r w:rsidRPr="00E10A1A">
        <w:rPr>
          <w:rFonts w:ascii="Calibri" w:hAnsi="Calibri" w:cs="Calibri"/>
          <w:sz w:val="24"/>
          <w:szCs w:val="24"/>
        </w:rPr>
        <w:t>ciclos de inversión privada y la incertidumbre macroeconómica que ha afectado el dinamismo del sector a nivel nacional. A pesar de la disminución, el nivel de ocupación en 2024 continúa siendo superior al de 2020, lo cual denota una recuperación parcial.</w:t>
      </w:r>
    </w:p>
    <w:p w14:paraId="3AF55EF4" w14:textId="77777777" w:rsidR="00E10A1A" w:rsidRDefault="00E10A1A" w:rsidP="001D31F7">
      <w:pPr>
        <w:spacing w:after="0" w:line="240" w:lineRule="auto"/>
        <w:jc w:val="both"/>
        <w:rPr>
          <w:rFonts w:ascii="Calibri" w:hAnsi="Calibri" w:cs="Calibri"/>
          <w:sz w:val="24"/>
          <w:szCs w:val="24"/>
        </w:rPr>
      </w:pPr>
    </w:p>
    <w:p w14:paraId="7953F4A8" w14:textId="3F50D50D" w:rsidR="00FD5688" w:rsidRDefault="00FD5688">
      <w:pPr>
        <w:rPr>
          <w:rFonts w:ascii="Calibri" w:hAnsi="Calibri" w:cs="Calibri"/>
          <w:sz w:val="24"/>
          <w:szCs w:val="24"/>
        </w:rPr>
      </w:pPr>
      <w:r>
        <w:rPr>
          <w:rFonts w:ascii="Calibri" w:hAnsi="Calibri" w:cs="Calibri"/>
          <w:sz w:val="24"/>
          <w:szCs w:val="24"/>
        </w:rPr>
        <w:br w:type="page"/>
      </w:r>
    </w:p>
    <w:p w14:paraId="01EC3D6E" w14:textId="77777777" w:rsidR="00BF7419" w:rsidRDefault="00BF7419" w:rsidP="001D31F7">
      <w:pPr>
        <w:spacing w:after="0" w:line="240" w:lineRule="auto"/>
        <w:jc w:val="both"/>
        <w:rPr>
          <w:rFonts w:ascii="Calibri" w:hAnsi="Calibri" w:cs="Calibri"/>
          <w:sz w:val="24"/>
          <w:szCs w:val="24"/>
        </w:rPr>
      </w:pPr>
    </w:p>
    <w:p w14:paraId="5889DC02" w14:textId="1AC593EE" w:rsidR="008D4F70" w:rsidRPr="007508BA" w:rsidRDefault="001E6290" w:rsidP="007508BA">
      <w:pPr>
        <w:pStyle w:val="Prrafodelista"/>
        <w:numPr>
          <w:ilvl w:val="0"/>
          <w:numId w:val="5"/>
        </w:numPr>
        <w:spacing w:after="0"/>
        <w:rPr>
          <w:rFonts w:ascii="Calibri" w:hAnsi="Calibri" w:cs="Calibri"/>
        </w:rPr>
      </w:pPr>
      <w:r w:rsidRPr="007508BA">
        <w:rPr>
          <w:rFonts w:ascii="Calibri" w:hAnsi="Calibri" w:cs="Calibri"/>
        </w:rPr>
        <w:t xml:space="preserve">EMPLEO Y DESOCUPACIÓN </w:t>
      </w:r>
      <w:r w:rsidR="007508BA" w:rsidRPr="007508BA">
        <w:rPr>
          <w:rFonts w:ascii="Calibri" w:hAnsi="Calibri" w:cs="Calibri"/>
        </w:rPr>
        <w:t>TOTAL NACIONAL, REGIÓN PACÍFICA Y CAUCA</w:t>
      </w:r>
    </w:p>
    <w:p w14:paraId="78AE79F6" w14:textId="77777777" w:rsidR="008D4F70" w:rsidRDefault="008D4F70" w:rsidP="001D31F7">
      <w:pPr>
        <w:spacing w:after="0" w:line="240" w:lineRule="auto"/>
        <w:jc w:val="both"/>
        <w:rPr>
          <w:rFonts w:ascii="Calibri" w:hAnsi="Calibri" w:cs="Calibri"/>
          <w:sz w:val="24"/>
          <w:szCs w:val="24"/>
        </w:rPr>
      </w:pPr>
    </w:p>
    <w:p w14:paraId="6B643E73" w14:textId="77777777" w:rsidR="000B48BF" w:rsidRDefault="003E6A1F" w:rsidP="0064793F">
      <w:pPr>
        <w:spacing w:after="0" w:line="240" w:lineRule="auto"/>
        <w:jc w:val="both"/>
        <w:rPr>
          <w:rFonts w:ascii="Calibri" w:hAnsi="Calibri" w:cs="Calibri"/>
          <w:sz w:val="24"/>
          <w:szCs w:val="24"/>
        </w:rPr>
      </w:pPr>
      <w:r w:rsidRPr="003E6A1F">
        <w:rPr>
          <w:rFonts w:ascii="Calibri" w:hAnsi="Calibri" w:cs="Calibri"/>
          <w:sz w:val="24"/>
          <w:szCs w:val="24"/>
        </w:rPr>
        <w:t xml:space="preserve">Entre 2020 y 2024, la </w:t>
      </w:r>
      <w:r w:rsidRPr="003E6A1F">
        <w:rPr>
          <w:rFonts w:ascii="Calibri" w:hAnsi="Calibri" w:cs="Calibri"/>
          <w:b/>
          <w:bCs/>
          <w:sz w:val="24"/>
          <w:szCs w:val="24"/>
        </w:rPr>
        <w:t>Tasa Global de Participación (</w:t>
      </w:r>
      <w:proofErr w:type="spellStart"/>
      <w:r w:rsidRPr="003E6A1F">
        <w:rPr>
          <w:rFonts w:ascii="Calibri" w:hAnsi="Calibri" w:cs="Calibri"/>
          <w:b/>
          <w:bCs/>
          <w:sz w:val="24"/>
          <w:szCs w:val="24"/>
        </w:rPr>
        <w:t>TGP</w:t>
      </w:r>
      <w:proofErr w:type="spellEnd"/>
      <w:r w:rsidRPr="003E6A1F">
        <w:rPr>
          <w:rFonts w:ascii="Calibri" w:hAnsi="Calibri" w:cs="Calibri"/>
          <w:b/>
          <w:bCs/>
          <w:sz w:val="24"/>
          <w:szCs w:val="24"/>
        </w:rPr>
        <w:t>)</w:t>
      </w:r>
      <w:r w:rsidRPr="003E6A1F">
        <w:rPr>
          <w:rFonts w:ascii="Calibri" w:hAnsi="Calibri" w:cs="Calibri"/>
          <w:sz w:val="24"/>
          <w:szCs w:val="24"/>
        </w:rPr>
        <w:t xml:space="preserve"> del Cauca mostró una tendencia creciente, pasando de 58,3% en 2020 a 70,1% en 2024, con un incremento de casi 12 puntos porcentuales. Este crecimiento fue superior al observado a nivel nacional, cuya </w:t>
      </w:r>
      <w:proofErr w:type="spellStart"/>
      <w:r w:rsidRPr="003E6A1F">
        <w:rPr>
          <w:rFonts w:ascii="Calibri" w:hAnsi="Calibri" w:cs="Calibri"/>
          <w:sz w:val="24"/>
          <w:szCs w:val="24"/>
        </w:rPr>
        <w:t>TGP</w:t>
      </w:r>
      <w:proofErr w:type="spellEnd"/>
      <w:r w:rsidRPr="003E6A1F">
        <w:rPr>
          <w:rFonts w:ascii="Calibri" w:hAnsi="Calibri" w:cs="Calibri"/>
          <w:sz w:val="24"/>
          <w:szCs w:val="24"/>
        </w:rPr>
        <w:t xml:space="preserve"> osciló entre 60,4% y 63,9%, y también superó el promedio regional del Pacífico, que pasó de 59,2% a 65,3% en el mismo periodo. </w:t>
      </w:r>
    </w:p>
    <w:p w14:paraId="0262C5DF" w14:textId="77777777" w:rsidR="000B48BF" w:rsidRDefault="000B48BF" w:rsidP="0064793F">
      <w:pPr>
        <w:spacing w:after="0" w:line="240" w:lineRule="auto"/>
        <w:jc w:val="both"/>
        <w:rPr>
          <w:rFonts w:ascii="Calibri" w:hAnsi="Calibri" w:cs="Calibri"/>
          <w:sz w:val="24"/>
          <w:szCs w:val="24"/>
        </w:rPr>
      </w:pPr>
    </w:p>
    <w:p w14:paraId="7320378B" w14:textId="77777777" w:rsidR="00D306B2" w:rsidRDefault="003E6A1F" w:rsidP="0064793F">
      <w:pPr>
        <w:spacing w:after="0" w:line="240" w:lineRule="auto"/>
        <w:jc w:val="both"/>
        <w:rPr>
          <w:rFonts w:ascii="Calibri" w:hAnsi="Calibri" w:cs="Calibri"/>
          <w:sz w:val="24"/>
          <w:szCs w:val="24"/>
        </w:rPr>
      </w:pPr>
      <w:r w:rsidRPr="003E6A1F">
        <w:rPr>
          <w:rFonts w:ascii="Calibri" w:hAnsi="Calibri" w:cs="Calibri"/>
          <w:sz w:val="24"/>
          <w:szCs w:val="24"/>
        </w:rPr>
        <w:t xml:space="preserve">A partir de 2022, el Cauca logró superar sistemáticamente tanto la </w:t>
      </w:r>
      <w:proofErr w:type="spellStart"/>
      <w:r w:rsidRPr="003E6A1F">
        <w:rPr>
          <w:rFonts w:ascii="Calibri" w:hAnsi="Calibri" w:cs="Calibri"/>
          <w:sz w:val="24"/>
          <w:szCs w:val="24"/>
        </w:rPr>
        <w:t>TGP</w:t>
      </w:r>
      <w:proofErr w:type="spellEnd"/>
      <w:r w:rsidRPr="003E6A1F">
        <w:rPr>
          <w:rFonts w:ascii="Calibri" w:hAnsi="Calibri" w:cs="Calibri"/>
          <w:sz w:val="24"/>
          <w:szCs w:val="24"/>
        </w:rPr>
        <w:t xml:space="preserve"> nacional como la regiona</w:t>
      </w:r>
      <w:r w:rsidR="000B48BF">
        <w:rPr>
          <w:rFonts w:ascii="Calibri" w:hAnsi="Calibri" w:cs="Calibri"/>
          <w:sz w:val="24"/>
          <w:szCs w:val="24"/>
        </w:rPr>
        <w:t xml:space="preserve">l, </w:t>
      </w:r>
      <w:r w:rsidRPr="003E6A1F">
        <w:rPr>
          <w:rFonts w:ascii="Calibri" w:hAnsi="Calibri" w:cs="Calibri"/>
          <w:sz w:val="24"/>
          <w:szCs w:val="24"/>
        </w:rPr>
        <w:t xml:space="preserve">comportamiento </w:t>
      </w:r>
      <w:r w:rsidR="000B48BF">
        <w:rPr>
          <w:rFonts w:ascii="Calibri" w:hAnsi="Calibri" w:cs="Calibri"/>
          <w:sz w:val="24"/>
          <w:szCs w:val="24"/>
        </w:rPr>
        <w:t xml:space="preserve">que </w:t>
      </w:r>
      <w:r w:rsidRPr="003E6A1F">
        <w:rPr>
          <w:rFonts w:ascii="Calibri" w:hAnsi="Calibri" w:cs="Calibri"/>
          <w:sz w:val="24"/>
          <w:szCs w:val="24"/>
        </w:rPr>
        <w:t>podría estar asociado a una recuperación más dinámica del mercado laboral, así como a una mayor inserción de población en edad de trabajar</w:t>
      </w:r>
      <w:r w:rsidR="0064793F">
        <w:rPr>
          <w:rFonts w:ascii="Calibri" w:hAnsi="Calibri" w:cs="Calibri"/>
          <w:sz w:val="24"/>
          <w:szCs w:val="24"/>
        </w:rPr>
        <w:t xml:space="preserve">, </w:t>
      </w:r>
      <w:r w:rsidR="0064793F" w:rsidRPr="0064793F">
        <w:rPr>
          <w:rFonts w:ascii="Calibri" w:hAnsi="Calibri" w:cs="Calibri"/>
          <w:sz w:val="24"/>
          <w:szCs w:val="24"/>
        </w:rPr>
        <w:t>especialmente en áreas rurales y por parte de mujeres</w:t>
      </w:r>
      <w:r w:rsidR="0064793F">
        <w:rPr>
          <w:rFonts w:ascii="Calibri" w:hAnsi="Calibri" w:cs="Calibri"/>
          <w:sz w:val="24"/>
          <w:szCs w:val="24"/>
        </w:rPr>
        <w:t>.</w:t>
      </w:r>
      <w:r w:rsidR="00D306B2">
        <w:rPr>
          <w:rFonts w:ascii="Calibri" w:hAnsi="Calibri" w:cs="Calibri"/>
          <w:sz w:val="24"/>
          <w:szCs w:val="24"/>
        </w:rPr>
        <w:t xml:space="preserve"> </w:t>
      </w:r>
    </w:p>
    <w:p w14:paraId="2E5A7F9C" w14:textId="77777777" w:rsidR="00D306B2" w:rsidRDefault="00D306B2" w:rsidP="0064793F">
      <w:pPr>
        <w:spacing w:after="0" w:line="240" w:lineRule="auto"/>
        <w:jc w:val="both"/>
        <w:rPr>
          <w:rFonts w:ascii="Calibri" w:hAnsi="Calibri" w:cs="Calibri"/>
          <w:sz w:val="24"/>
          <w:szCs w:val="24"/>
        </w:rPr>
      </w:pPr>
    </w:p>
    <w:p w14:paraId="1953317C" w14:textId="35FFB89F" w:rsidR="003E6A1F" w:rsidRPr="003E6A1F" w:rsidRDefault="003E6A1F" w:rsidP="0064793F">
      <w:pPr>
        <w:spacing w:after="0" w:line="240" w:lineRule="auto"/>
        <w:jc w:val="both"/>
        <w:rPr>
          <w:rFonts w:ascii="Calibri" w:hAnsi="Calibri" w:cs="Calibri"/>
          <w:sz w:val="24"/>
          <w:szCs w:val="24"/>
        </w:rPr>
      </w:pPr>
      <w:r w:rsidRPr="003E6A1F">
        <w:rPr>
          <w:rFonts w:ascii="Calibri" w:hAnsi="Calibri" w:cs="Calibri"/>
          <w:sz w:val="24"/>
          <w:szCs w:val="24"/>
        </w:rPr>
        <w:t>No obstante, el aumento en la participación también plantea la necesidad de analizar la calidad del empleo generado y la sostenibilidad de esta tendencia en el tiempo.</w:t>
      </w:r>
    </w:p>
    <w:p w14:paraId="3BDE5E57" w14:textId="77777777" w:rsidR="007508BA" w:rsidRDefault="007508BA" w:rsidP="001D31F7">
      <w:pPr>
        <w:spacing w:after="0" w:line="240" w:lineRule="auto"/>
        <w:jc w:val="both"/>
        <w:rPr>
          <w:rFonts w:ascii="Calibri" w:hAnsi="Calibri" w:cs="Calibri"/>
          <w:sz w:val="24"/>
          <w:szCs w:val="24"/>
        </w:rPr>
      </w:pPr>
    </w:p>
    <w:p w14:paraId="483CDEED" w14:textId="77777777" w:rsidR="000D7F5F" w:rsidRDefault="000D7F5F" w:rsidP="001D31F7">
      <w:pPr>
        <w:spacing w:after="0" w:line="240" w:lineRule="auto"/>
        <w:jc w:val="both"/>
        <w:rPr>
          <w:rFonts w:ascii="Calibri" w:hAnsi="Calibri" w:cs="Calibri"/>
          <w:sz w:val="24"/>
          <w:szCs w:val="24"/>
        </w:rPr>
      </w:pPr>
    </w:p>
    <w:p w14:paraId="2BB0B302" w14:textId="188E4277" w:rsidR="002A7CF6" w:rsidRPr="00037088" w:rsidRDefault="002A7CF6" w:rsidP="001D31F7">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sidR="00DE6E12">
        <w:rPr>
          <w:rFonts w:ascii="Calibri" w:hAnsi="Calibri" w:cs="Calibri"/>
          <w:b/>
          <w:bCs/>
          <w:sz w:val="24"/>
          <w:szCs w:val="24"/>
        </w:rPr>
        <w:t>6</w:t>
      </w:r>
      <w:r w:rsidRPr="00037088">
        <w:rPr>
          <w:rFonts w:ascii="Calibri" w:hAnsi="Calibri" w:cs="Calibri"/>
          <w:b/>
          <w:bCs/>
          <w:sz w:val="24"/>
          <w:szCs w:val="24"/>
        </w:rPr>
        <w:t xml:space="preserve">. </w:t>
      </w:r>
      <w:r w:rsidR="003E6A1F" w:rsidRPr="003E6A1F">
        <w:rPr>
          <w:rFonts w:ascii="Calibri" w:hAnsi="Calibri" w:cs="Calibri"/>
          <w:sz w:val="24"/>
          <w:szCs w:val="24"/>
        </w:rPr>
        <w:t>Tasa Global de Participación (</w:t>
      </w:r>
      <w:proofErr w:type="spellStart"/>
      <w:r w:rsidR="003E6A1F" w:rsidRPr="003E6A1F">
        <w:rPr>
          <w:rFonts w:ascii="Calibri" w:hAnsi="Calibri" w:cs="Calibri"/>
          <w:sz w:val="24"/>
          <w:szCs w:val="24"/>
        </w:rPr>
        <w:t>TGP</w:t>
      </w:r>
      <w:proofErr w:type="spellEnd"/>
      <w:r w:rsidR="003E6A1F" w:rsidRPr="003E6A1F">
        <w:rPr>
          <w:rFonts w:ascii="Calibri" w:hAnsi="Calibri" w:cs="Calibri"/>
          <w:sz w:val="24"/>
          <w:szCs w:val="24"/>
        </w:rPr>
        <w:t xml:space="preserve">) </w:t>
      </w:r>
      <w:r>
        <w:rPr>
          <w:rFonts w:ascii="Calibri" w:hAnsi="Calibri" w:cs="Calibri"/>
          <w:sz w:val="24"/>
          <w:szCs w:val="24"/>
        </w:rPr>
        <w:t xml:space="preserve">– Comparativo </w:t>
      </w:r>
      <w:r w:rsidR="003E6A1F">
        <w:rPr>
          <w:rFonts w:ascii="Calibri" w:hAnsi="Calibri" w:cs="Calibri"/>
          <w:sz w:val="24"/>
          <w:szCs w:val="24"/>
        </w:rPr>
        <w:t>total nacional, región Pacífica y Cauca</w:t>
      </w:r>
      <w:r>
        <w:rPr>
          <w:rFonts w:ascii="Calibri" w:hAnsi="Calibri" w:cs="Calibri"/>
          <w:sz w:val="24"/>
          <w:szCs w:val="24"/>
        </w:rPr>
        <w:t xml:space="preserve">, entre </w:t>
      </w:r>
      <w:r w:rsidRPr="00037088">
        <w:rPr>
          <w:rFonts w:ascii="Calibri" w:hAnsi="Calibri" w:cs="Calibri"/>
          <w:sz w:val="24"/>
          <w:szCs w:val="24"/>
        </w:rPr>
        <w:t xml:space="preserve">2020 </w:t>
      </w:r>
      <w:r>
        <w:rPr>
          <w:rFonts w:ascii="Calibri" w:hAnsi="Calibri" w:cs="Calibri"/>
          <w:sz w:val="24"/>
          <w:szCs w:val="24"/>
        </w:rPr>
        <w:t>a</w:t>
      </w:r>
      <w:r w:rsidRPr="00037088">
        <w:rPr>
          <w:rFonts w:ascii="Calibri" w:hAnsi="Calibri" w:cs="Calibri"/>
          <w:sz w:val="24"/>
          <w:szCs w:val="24"/>
        </w:rPr>
        <w:t xml:space="preserve"> 2024</w:t>
      </w:r>
      <w:r>
        <w:rPr>
          <w:rFonts w:ascii="Calibri" w:hAnsi="Calibri" w:cs="Calibri"/>
          <w:sz w:val="24"/>
          <w:szCs w:val="24"/>
        </w:rPr>
        <w:t>.</w:t>
      </w:r>
    </w:p>
    <w:p w14:paraId="24ECE057" w14:textId="740B905B" w:rsidR="000D7F5F" w:rsidRDefault="003E6A1F" w:rsidP="002C4C7D">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0AC1A008" wp14:editId="077FEF64">
            <wp:extent cx="5760720" cy="2849565"/>
            <wp:effectExtent l="0" t="0" r="0" b="8255"/>
            <wp:docPr id="12084683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6931"/>
                    <a:stretch>
                      <a:fillRect/>
                    </a:stretch>
                  </pic:blipFill>
                  <pic:spPr bwMode="auto">
                    <a:xfrm>
                      <a:off x="0" y="0"/>
                      <a:ext cx="5782075" cy="2860128"/>
                    </a:xfrm>
                    <a:prstGeom prst="rect">
                      <a:avLst/>
                    </a:prstGeom>
                    <a:noFill/>
                    <a:ln>
                      <a:noFill/>
                    </a:ln>
                    <a:extLst>
                      <a:ext uri="{53640926-AAD7-44D8-BBD7-CCE9431645EC}">
                        <a14:shadowObscured xmlns:a14="http://schemas.microsoft.com/office/drawing/2010/main"/>
                      </a:ext>
                    </a:extLst>
                  </pic:spPr>
                </pic:pic>
              </a:graphicData>
            </a:graphic>
          </wp:inline>
        </w:drawing>
      </w:r>
    </w:p>
    <w:p w14:paraId="01498328" w14:textId="77777777" w:rsidR="001B32A6" w:rsidRPr="00037088" w:rsidRDefault="001B32A6" w:rsidP="001D31F7">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7C39464E" w14:textId="77777777" w:rsidR="001B32A6" w:rsidRDefault="001B32A6" w:rsidP="001D31F7">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48AD73F1" w14:textId="77777777" w:rsidR="000D7F5F" w:rsidRDefault="000D7F5F" w:rsidP="001D31F7">
      <w:pPr>
        <w:spacing w:after="0" w:line="240" w:lineRule="auto"/>
        <w:jc w:val="both"/>
        <w:rPr>
          <w:rFonts w:ascii="Calibri" w:hAnsi="Calibri" w:cs="Calibri"/>
          <w:sz w:val="24"/>
          <w:szCs w:val="24"/>
        </w:rPr>
      </w:pPr>
    </w:p>
    <w:p w14:paraId="56311C0A" w14:textId="77777777" w:rsidR="00DE6E12" w:rsidRDefault="00DE6E12" w:rsidP="001D31F7">
      <w:pPr>
        <w:spacing w:after="0" w:line="240" w:lineRule="auto"/>
        <w:jc w:val="both"/>
        <w:rPr>
          <w:rFonts w:ascii="Calibri" w:hAnsi="Calibri" w:cs="Calibri"/>
          <w:sz w:val="24"/>
          <w:szCs w:val="24"/>
        </w:rPr>
      </w:pPr>
    </w:p>
    <w:p w14:paraId="63C05960" w14:textId="3F1E0705" w:rsidR="00DE6E12" w:rsidRDefault="00DA5907" w:rsidP="001D31F7">
      <w:pPr>
        <w:spacing w:after="0" w:line="240" w:lineRule="auto"/>
        <w:jc w:val="both"/>
        <w:rPr>
          <w:rFonts w:ascii="Calibri" w:hAnsi="Calibri" w:cs="Calibri"/>
          <w:sz w:val="24"/>
          <w:szCs w:val="24"/>
        </w:rPr>
      </w:pPr>
      <w:r w:rsidRPr="00DA5907">
        <w:rPr>
          <w:rFonts w:ascii="Calibri" w:hAnsi="Calibri" w:cs="Calibri"/>
          <w:sz w:val="24"/>
          <w:szCs w:val="24"/>
        </w:rPr>
        <w:t xml:space="preserve">Durante el periodo 2020-2024, el departamento del Cauca registró un incremento sostenido en la </w:t>
      </w:r>
      <w:r w:rsidRPr="00DA5907">
        <w:rPr>
          <w:rFonts w:ascii="Calibri" w:hAnsi="Calibri" w:cs="Calibri"/>
          <w:b/>
          <w:bCs/>
          <w:sz w:val="24"/>
          <w:szCs w:val="24"/>
        </w:rPr>
        <w:t>Tasa de Ocupación (</w:t>
      </w:r>
      <w:proofErr w:type="spellStart"/>
      <w:r w:rsidRPr="00DA5907">
        <w:rPr>
          <w:rFonts w:ascii="Calibri" w:hAnsi="Calibri" w:cs="Calibri"/>
          <w:b/>
          <w:bCs/>
          <w:sz w:val="24"/>
          <w:szCs w:val="24"/>
        </w:rPr>
        <w:t>TO</w:t>
      </w:r>
      <w:proofErr w:type="spellEnd"/>
      <w:r w:rsidRPr="00DA5907">
        <w:rPr>
          <w:rFonts w:ascii="Calibri" w:hAnsi="Calibri" w:cs="Calibri"/>
          <w:b/>
          <w:bCs/>
          <w:sz w:val="24"/>
          <w:szCs w:val="24"/>
        </w:rPr>
        <w:t>)</w:t>
      </w:r>
      <w:r w:rsidRPr="00DA5907">
        <w:rPr>
          <w:rFonts w:ascii="Calibri" w:hAnsi="Calibri" w:cs="Calibri"/>
          <w:sz w:val="24"/>
          <w:szCs w:val="24"/>
        </w:rPr>
        <w:t xml:space="preserve">, pasando del 49,9% en 2020 al 64,3% en 2024, </w:t>
      </w:r>
      <w:r w:rsidR="00CB561C">
        <w:rPr>
          <w:rFonts w:ascii="Calibri" w:hAnsi="Calibri" w:cs="Calibri"/>
          <w:sz w:val="24"/>
          <w:szCs w:val="24"/>
        </w:rPr>
        <w:t>evidenciando</w:t>
      </w:r>
      <w:r w:rsidRPr="00DA5907">
        <w:rPr>
          <w:rFonts w:ascii="Calibri" w:hAnsi="Calibri" w:cs="Calibri"/>
          <w:sz w:val="24"/>
          <w:szCs w:val="24"/>
        </w:rPr>
        <w:t xml:space="preserve"> un aumento de 14,4 puntos porcentuales. Esta evolución positiva permitió que Cauca superara </w:t>
      </w:r>
      <w:r w:rsidRPr="00DA5907">
        <w:rPr>
          <w:rFonts w:ascii="Calibri" w:hAnsi="Calibri" w:cs="Calibri"/>
          <w:sz w:val="24"/>
          <w:szCs w:val="24"/>
        </w:rPr>
        <w:lastRenderedPageBreak/>
        <w:t>desde 202</w:t>
      </w:r>
      <w:r w:rsidR="00B952BE">
        <w:rPr>
          <w:rFonts w:ascii="Calibri" w:hAnsi="Calibri" w:cs="Calibri"/>
          <w:sz w:val="24"/>
          <w:szCs w:val="24"/>
        </w:rPr>
        <w:t>1</w:t>
      </w:r>
      <w:r w:rsidRPr="00DA5907">
        <w:rPr>
          <w:rFonts w:ascii="Calibri" w:hAnsi="Calibri" w:cs="Calibri"/>
          <w:sz w:val="24"/>
          <w:szCs w:val="24"/>
        </w:rPr>
        <w:t xml:space="preserve"> tanto la tasa nacional (57,4% en 2024) como la de la región Pacífica (58,8%). La recuperación laboral parece haber sido más fuerte en </w:t>
      </w:r>
      <w:r w:rsidR="00B952BE">
        <w:rPr>
          <w:rFonts w:ascii="Calibri" w:hAnsi="Calibri" w:cs="Calibri"/>
          <w:sz w:val="24"/>
          <w:szCs w:val="24"/>
        </w:rPr>
        <w:t>el</w:t>
      </w:r>
      <w:r w:rsidRPr="00DA5907">
        <w:rPr>
          <w:rFonts w:ascii="Calibri" w:hAnsi="Calibri" w:cs="Calibri"/>
          <w:sz w:val="24"/>
          <w:szCs w:val="24"/>
        </w:rPr>
        <w:t xml:space="preserve"> departamento, reflejando posiblemente un dinamismo mayor en sectores como la agricultura, el comercio y el sector público.</w:t>
      </w:r>
    </w:p>
    <w:p w14:paraId="1FDEB039" w14:textId="77777777" w:rsidR="00DA5907" w:rsidRDefault="00DA5907" w:rsidP="001D31F7">
      <w:pPr>
        <w:spacing w:after="0" w:line="240" w:lineRule="auto"/>
        <w:jc w:val="both"/>
        <w:rPr>
          <w:rFonts w:ascii="Calibri" w:hAnsi="Calibri" w:cs="Calibri"/>
          <w:sz w:val="24"/>
          <w:szCs w:val="24"/>
        </w:rPr>
      </w:pPr>
    </w:p>
    <w:p w14:paraId="5B92FB86" w14:textId="77777777" w:rsidR="00DA5907" w:rsidRDefault="00DA5907" w:rsidP="001D31F7">
      <w:pPr>
        <w:spacing w:after="0" w:line="240" w:lineRule="auto"/>
        <w:jc w:val="both"/>
        <w:rPr>
          <w:rFonts w:ascii="Calibri" w:hAnsi="Calibri" w:cs="Calibri"/>
          <w:sz w:val="24"/>
          <w:szCs w:val="24"/>
        </w:rPr>
      </w:pPr>
    </w:p>
    <w:p w14:paraId="08D0A11A" w14:textId="10542732" w:rsidR="00DA5907" w:rsidRDefault="00DA5907" w:rsidP="001D31F7">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Pr>
          <w:rFonts w:ascii="Calibri" w:hAnsi="Calibri" w:cs="Calibri"/>
          <w:b/>
          <w:bCs/>
          <w:sz w:val="24"/>
          <w:szCs w:val="24"/>
        </w:rPr>
        <w:t>7</w:t>
      </w:r>
      <w:r w:rsidRPr="00037088">
        <w:rPr>
          <w:rFonts w:ascii="Calibri" w:hAnsi="Calibri" w:cs="Calibri"/>
          <w:b/>
          <w:bCs/>
          <w:sz w:val="24"/>
          <w:szCs w:val="24"/>
        </w:rPr>
        <w:t xml:space="preserve">. </w:t>
      </w:r>
      <w:r w:rsidRPr="003E6A1F">
        <w:rPr>
          <w:rFonts w:ascii="Calibri" w:hAnsi="Calibri" w:cs="Calibri"/>
          <w:sz w:val="24"/>
          <w:szCs w:val="24"/>
        </w:rPr>
        <w:t xml:space="preserve">Tasa </w:t>
      </w:r>
      <w:r>
        <w:rPr>
          <w:rFonts w:ascii="Calibri" w:hAnsi="Calibri" w:cs="Calibri"/>
          <w:sz w:val="24"/>
          <w:szCs w:val="24"/>
        </w:rPr>
        <w:t>de Ocupación</w:t>
      </w:r>
      <w:r w:rsidRPr="003E6A1F">
        <w:rPr>
          <w:rFonts w:ascii="Calibri" w:hAnsi="Calibri" w:cs="Calibri"/>
          <w:sz w:val="24"/>
          <w:szCs w:val="24"/>
        </w:rPr>
        <w:t xml:space="preserve"> (</w:t>
      </w:r>
      <w:proofErr w:type="spellStart"/>
      <w:r w:rsidRPr="003E6A1F">
        <w:rPr>
          <w:rFonts w:ascii="Calibri" w:hAnsi="Calibri" w:cs="Calibri"/>
          <w:sz w:val="24"/>
          <w:szCs w:val="24"/>
        </w:rPr>
        <w:t>T</w:t>
      </w:r>
      <w:r>
        <w:rPr>
          <w:rFonts w:ascii="Calibri" w:hAnsi="Calibri" w:cs="Calibri"/>
          <w:sz w:val="24"/>
          <w:szCs w:val="24"/>
        </w:rPr>
        <w:t>O</w:t>
      </w:r>
      <w:proofErr w:type="spellEnd"/>
      <w:r w:rsidRPr="003E6A1F">
        <w:rPr>
          <w:rFonts w:ascii="Calibri" w:hAnsi="Calibri" w:cs="Calibri"/>
          <w:sz w:val="24"/>
          <w:szCs w:val="24"/>
        </w:rPr>
        <w:t xml:space="preserve">) </w:t>
      </w:r>
      <w:r>
        <w:rPr>
          <w:rFonts w:ascii="Calibri" w:hAnsi="Calibri" w:cs="Calibri"/>
          <w:sz w:val="24"/>
          <w:szCs w:val="24"/>
        </w:rPr>
        <w:t xml:space="preserve">– Comparativo total nacional, región Pacífica y Cauca, entre </w:t>
      </w:r>
      <w:r w:rsidRPr="00037088">
        <w:rPr>
          <w:rFonts w:ascii="Calibri" w:hAnsi="Calibri" w:cs="Calibri"/>
          <w:sz w:val="24"/>
          <w:szCs w:val="24"/>
        </w:rPr>
        <w:t xml:space="preserve">2020 </w:t>
      </w:r>
      <w:r>
        <w:rPr>
          <w:rFonts w:ascii="Calibri" w:hAnsi="Calibri" w:cs="Calibri"/>
          <w:sz w:val="24"/>
          <w:szCs w:val="24"/>
        </w:rPr>
        <w:t>a</w:t>
      </w:r>
      <w:r w:rsidRPr="00037088">
        <w:rPr>
          <w:rFonts w:ascii="Calibri" w:hAnsi="Calibri" w:cs="Calibri"/>
          <w:sz w:val="24"/>
          <w:szCs w:val="24"/>
        </w:rPr>
        <w:t xml:space="preserve"> 2024</w:t>
      </w:r>
      <w:r>
        <w:rPr>
          <w:rFonts w:ascii="Calibri" w:hAnsi="Calibri" w:cs="Calibri"/>
          <w:sz w:val="24"/>
          <w:szCs w:val="24"/>
        </w:rPr>
        <w:t>.</w:t>
      </w:r>
    </w:p>
    <w:p w14:paraId="7AF3D390" w14:textId="5CE3201F" w:rsidR="00DA5907" w:rsidRDefault="00564162" w:rsidP="002C4C7D">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6BAFF51B" wp14:editId="60C6DDF6">
            <wp:extent cx="5881879" cy="2529840"/>
            <wp:effectExtent l="0" t="0" r="5080" b="3810"/>
            <wp:docPr id="12317110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5555"/>
                    <a:stretch>
                      <a:fillRect/>
                    </a:stretch>
                  </pic:blipFill>
                  <pic:spPr bwMode="auto">
                    <a:xfrm>
                      <a:off x="0" y="0"/>
                      <a:ext cx="5905160" cy="2539853"/>
                    </a:xfrm>
                    <a:prstGeom prst="rect">
                      <a:avLst/>
                    </a:prstGeom>
                    <a:noFill/>
                    <a:ln>
                      <a:noFill/>
                    </a:ln>
                    <a:extLst>
                      <a:ext uri="{53640926-AAD7-44D8-BBD7-CCE9431645EC}">
                        <a14:shadowObscured xmlns:a14="http://schemas.microsoft.com/office/drawing/2010/main"/>
                      </a:ext>
                    </a:extLst>
                  </pic:spPr>
                </pic:pic>
              </a:graphicData>
            </a:graphic>
          </wp:inline>
        </w:drawing>
      </w:r>
    </w:p>
    <w:p w14:paraId="0AE411F9" w14:textId="77777777" w:rsidR="00564162" w:rsidRPr="00037088" w:rsidRDefault="00564162" w:rsidP="00564162">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6A92429D" w14:textId="77777777" w:rsidR="00564162" w:rsidRDefault="00564162" w:rsidP="00564162">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1210E66E" w14:textId="77777777" w:rsidR="00DA5907" w:rsidRDefault="00DA5907" w:rsidP="001D31F7">
      <w:pPr>
        <w:spacing w:after="0" w:line="240" w:lineRule="auto"/>
        <w:jc w:val="both"/>
        <w:rPr>
          <w:rFonts w:ascii="Calibri" w:hAnsi="Calibri" w:cs="Calibri"/>
          <w:sz w:val="24"/>
          <w:szCs w:val="24"/>
        </w:rPr>
      </w:pPr>
    </w:p>
    <w:p w14:paraId="79017C0E" w14:textId="77777777" w:rsidR="002C4C7D" w:rsidRDefault="002C4C7D" w:rsidP="001D31F7">
      <w:pPr>
        <w:spacing w:after="0" w:line="240" w:lineRule="auto"/>
        <w:jc w:val="both"/>
        <w:rPr>
          <w:rFonts w:ascii="Calibri" w:hAnsi="Calibri" w:cs="Calibri"/>
          <w:sz w:val="24"/>
          <w:szCs w:val="24"/>
        </w:rPr>
      </w:pPr>
    </w:p>
    <w:p w14:paraId="0C416605" w14:textId="77777777" w:rsidR="002C4C7D" w:rsidRDefault="00D306B2" w:rsidP="00D306B2">
      <w:pPr>
        <w:spacing w:after="0" w:line="240" w:lineRule="auto"/>
        <w:jc w:val="both"/>
        <w:rPr>
          <w:rFonts w:ascii="Calibri" w:hAnsi="Calibri" w:cs="Calibri"/>
          <w:sz w:val="24"/>
          <w:szCs w:val="24"/>
        </w:rPr>
      </w:pPr>
      <w:r w:rsidRPr="00D306B2">
        <w:rPr>
          <w:rFonts w:ascii="Calibri" w:hAnsi="Calibri" w:cs="Calibri"/>
          <w:sz w:val="24"/>
          <w:szCs w:val="24"/>
        </w:rPr>
        <w:t>Entre 2020 y 2024, el Cauca mostró una notable reducción en su Tasa de Desocupación (</w:t>
      </w:r>
      <w:proofErr w:type="spellStart"/>
      <w:r w:rsidRPr="00D306B2">
        <w:rPr>
          <w:rFonts w:ascii="Calibri" w:hAnsi="Calibri" w:cs="Calibri"/>
          <w:sz w:val="24"/>
          <w:szCs w:val="24"/>
        </w:rPr>
        <w:t>TD</w:t>
      </w:r>
      <w:proofErr w:type="spellEnd"/>
      <w:r w:rsidRPr="00D306B2">
        <w:rPr>
          <w:rFonts w:ascii="Calibri" w:hAnsi="Calibri" w:cs="Calibri"/>
          <w:sz w:val="24"/>
          <w:szCs w:val="24"/>
        </w:rPr>
        <w:t xml:space="preserve">), pasando del 14,4% al 8,2%. Aunque en 2020 y 2021 estuvo por debajo del promedio nacional y de la región Pacífica, a partir de 2022 logró consolidar una posición aún más favorable, con tasas consistentemente menores que los promedios nacional (10,2% en 2024) y regional (10,1%). </w:t>
      </w:r>
    </w:p>
    <w:p w14:paraId="6E60BB2D" w14:textId="77777777" w:rsidR="002C4C7D" w:rsidRDefault="002C4C7D" w:rsidP="00D306B2">
      <w:pPr>
        <w:spacing w:after="0" w:line="240" w:lineRule="auto"/>
        <w:jc w:val="both"/>
        <w:rPr>
          <w:rFonts w:ascii="Calibri" w:hAnsi="Calibri" w:cs="Calibri"/>
          <w:sz w:val="24"/>
          <w:szCs w:val="24"/>
        </w:rPr>
      </w:pPr>
    </w:p>
    <w:p w14:paraId="432AFB25" w14:textId="43F37873" w:rsidR="00D306B2" w:rsidRPr="00D306B2" w:rsidRDefault="00D306B2" w:rsidP="00D306B2">
      <w:pPr>
        <w:spacing w:after="0" w:line="240" w:lineRule="auto"/>
        <w:jc w:val="both"/>
        <w:rPr>
          <w:rFonts w:ascii="Calibri" w:hAnsi="Calibri" w:cs="Calibri"/>
          <w:sz w:val="24"/>
          <w:szCs w:val="24"/>
        </w:rPr>
      </w:pPr>
      <w:r w:rsidRPr="00D306B2">
        <w:rPr>
          <w:rFonts w:ascii="Calibri" w:hAnsi="Calibri" w:cs="Calibri"/>
          <w:sz w:val="24"/>
          <w:szCs w:val="24"/>
        </w:rPr>
        <w:t xml:space="preserve">No obstante, el ligero repunte observado en 2024 sugiere la necesidad de fortalecer </w:t>
      </w:r>
      <w:r w:rsidR="00CB561C">
        <w:rPr>
          <w:rFonts w:ascii="Calibri" w:hAnsi="Calibri" w:cs="Calibri"/>
          <w:sz w:val="24"/>
          <w:szCs w:val="24"/>
        </w:rPr>
        <w:t>acciones que permitan</w:t>
      </w:r>
      <w:r w:rsidRPr="00D306B2">
        <w:rPr>
          <w:rFonts w:ascii="Calibri" w:hAnsi="Calibri" w:cs="Calibri"/>
          <w:sz w:val="24"/>
          <w:szCs w:val="24"/>
        </w:rPr>
        <w:t xml:space="preserve"> garantizar una inserción laboral estable y de calidad, especialmente en población joven y femenina, quienes siguen enfrentando mayores barreras.</w:t>
      </w:r>
    </w:p>
    <w:p w14:paraId="672F3BE0" w14:textId="77777777" w:rsidR="00564162" w:rsidRDefault="00564162" w:rsidP="001D31F7">
      <w:pPr>
        <w:spacing w:after="0" w:line="240" w:lineRule="auto"/>
        <w:jc w:val="both"/>
        <w:rPr>
          <w:rFonts w:ascii="Calibri" w:hAnsi="Calibri" w:cs="Calibri"/>
          <w:sz w:val="24"/>
          <w:szCs w:val="24"/>
        </w:rPr>
      </w:pPr>
    </w:p>
    <w:p w14:paraId="54640E28" w14:textId="77777777" w:rsidR="002C4C7D" w:rsidRDefault="002C4C7D" w:rsidP="001D31F7">
      <w:pPr>
        <w:spacing w:after="0" w:line="240" w:lineRule="auto"/>
        <w:jc w:val="both"/>
        <w:rPr>
          <w:rFonts w:ascii="Calibri" w:hAnsi="Calibri" w:cs="Calibri"/>
          <w:sz w:val="24"/>
          <w:szCs w:val="24"/>
        </w:rPr>
      </w:pPr>
    </w:p>
    <w:p w14:paraId="53FED51C" w14:textId="77777777" w:rsidR="002C4C7D" w:rsidRDefault="002C4C7D" w:rsidP="001D31F7">
      <w:pPr>
        <w:spacing w:after="0" w:line="240" w:lineRule="auto"/>
        <w:jc w:val="both"/>
        <w:rPr>
          <w:rFonts w:ascii="Calibri" w:hAnsi="Calibri" w:cs="Calibri"/>
          <w:sz w:val="24"/>
          <w:szCs w:val="24"/>
        </w:rPr>
      </w:pPr>
    </w:p>
    <w:p w14:paraId="34D288F9" w14:textId="77777777" w:rsidR="002C4C7D" w:rsidRDefault="002C4C7D" w:rsidP="001D31F7">
      <w:pPr>
        <w:spacing w:after="0" w:line="240" w:lineRule="auto"/>
        <w:jc w:val="both"/>
        <w:rPr>
          <w:rFonts w:ascii="Calibri" w:hAnsi="Calibri" w:cs="Calibri"/>
          <w:sz w:val="24"/>
          <w:szCs w:val="24"/>
        </w:rPr>
      </w:pPr>
    </w:p>
    <w:p w14:paraId="4F1135F8" w14:textId="77777777" w:rsidR="002C4C7D" w:rsidRDefault="002C4C7D" w:rsidP="001D31F7">
      <w:pPr>
        <w:spacing w:after="0" w:line="240" w:lineRule="auto"/>
        <w:jc w:val="both"/>
        <w:rPr>
          <w:rFonts w:ascii="Calibri" w:hAnsi="Calibri" w:cs="Calibri"/>
          <w:sz w:val="24"/>
          <w:szCs w:val="24"/>
        </w:rPr>
      </w:pPr>
    </w:p>
    <w:p w14:paraId="3DE705AF" w14:textId="77777777" w:rsidR="002C4C7D" w:rsidRDefault="002C4C7D" w:rsidP="001D31F7">
      <w:pPr>
        <w:spacing w:after="0" w:line="240" w:lineRule="auto"/>
        <w:jc w:val="both"/>
        <w:rPr>
          <w:rFonts w:ascii="Calibri" w:hAnsi="Calibri" w:cs="Calibri"/>
          <w:sz w:val="24"/>
          <w:szCs w:val="24"/>
        </w:rPr>
      </w:pPr>
    </w:p>
    <w:p w14:paraId="295706A1" w14:textId="77777777" w:rsidR="002C4C7D" w:rsidRDefault="002C4C7D" w:rsidP="001D31F7">
      <w:pPr>
        <w:spacing w:after="0" w:line="240" w:lineRule="auto"/>
        <w:jc w:val="both"/>
        <w:rPr>
          <w:rFonts w:ascii="Calibri" w:hAnsi="Calibri" w:cs="Calibri"/>
          <w:sz w:val="24"/>
          <w:szCs w:val="24"/>
        </w:rPr>
      </w:pPr>
    </w:p>
    <w:p w14:paraId="21AB441B" w14:textId="77777777" w:rsidR="002C4C7D" w:rsidRDefault="002C4C7D" w:rsidP="001D31F7">
      <w:pPr>
        <w:spacing w:after="0" w:line="240" w:lineRule="auto"/>
        <w:jc w:val="both"/>
        <w:rPr>
          <w:rFonts w:ascii="Calibri" w:hAnsi="Calibri" w:cs="Calibri"/>
          <w:sz w:val="24"/>
          <w:szCs w:val="24"/>
        </w:rPr>
      </w:pPr>
    </w:p>
    <w:p w14:paraId="2EE8B54B" w14:textId="2EAEC825" w:rsidR="00156D51" w:rsidRDefault="00156D51" w:rsidP="00156D51">
      <w:pPr>
        <w:spacing w:after="0" w:line="240" w:lineRule="auto"/>
        <w:jc w:val="both"/>
        <w:rPr>
          <w:rFonts w:ascii="Calibri" w:hAnsi="Calibri" w:cs="Calibri"/>
          <w:sz w:val="24"/>
          <w:szCs w:val="24"/>
        </w:rPr>
      </w:pPr>
      <w:r w:rsidRPr="00037088">
        <w:rPr>
          <w:rFonts w:ascii="Calibri" w:hAnsi="Calibri" w:cs="Calibri"/>
          <w:b/>
          <w:bCs/>
          <w:sz w:val="24"/>
          <w:szCs w:val="24"/>
        </w:rPr>
        <w:lastRenderedPageBreak/>
        <w:t xml:space="preserve">Gráfico </w:t>
      </w:r>
      <w:r>
        <w:rPr>
          <w:rFonts w:ascii="Calibri" w:hAnsi="Calibri" w:cs="Calibri"/>
          <w:b/>
          <w:bCs/>
          <w:sz w:val="24"/>
          <w:szCs w:val="24"/>
        </w:rPr>
        <w:t>8</w:t>
      </w:r>
      <w:r w:rsidRPr="00037088">
        <w:rPr>
          <w:rFonts w:ascii="Calibri" w:hAnsi="Calibri" w:cs="Calibri"/>
          <w:b/>
          <w:bCs/>
          <w:sz w:val="24"/>
          <w:szCs w:val="24"/>
        </w:rPr>
        <w:t xml:space="preserve">. </w:t>
      </w:r>
      <w:r w:rsidRPr="003E6A1F">
        <w:rPr>
          <w:rFonts w:ascii="Calibri" w:hAnsi="Calibri" w:cs="Calibri"/>
          <w:sz w:val="24"/>
          <w:szCs w:val="24"/>
        </w:rPr>
        <w:t xml:space="preserve">Tasa </w:t>
      </w:r>
      <w:r>
        <w:rPr>
          <w:rFonts w:ascii="Calibri" w:hAnsi="Calibri" w:cs="Calibri"/>
          <w:sz w:val="24"/>
          <w:szCs w:val="24"/>
        </w:rPr>
        <w:t xml:space="preserve">de </w:t>
      </w:r>
      <w:r>
        <w:rPr>
          <w:rFonts w:ascii="Calibri" w:hAnsi="Calibri" w:cs="Calibri"/>
          <w:sz w:val="24"/>
          <w:szCs w:val="24"/>
        </w:rPr>
        <w:t>Deso</w:t>
      </w:r>
      <w:r>
        <w:rPr>
          <w:rFonts w:ascii="Calibri" w:hAnsi="Calibri" w:cs="Calibri"/>
          <w:sz w:val="24"/>
          <w:szCs w:val="24"/>
        </w:rPr>
        <w:t>cupación</w:t>
      </w:r>
      <w:r w:rsidRPr="003E6A1F">
        <w:rPr>
          <w:rFonts w:ascii="Calibri" w:hAnsi="Calibri" w:cs="Calibri"/>
          <w:sz w:val="24"/>
          <w:szCs w:val="24"/>
        </w:rPr>
        <w:t xml:space="preserve"> (</w:t>
      </w:r>
      <w:proofErr w:type="spellStart"/>
      <w:r w:rsidRPr="003E6A1F">
        <w:rPr>
          <w:rFonts w:ascii="Calibri" w:hAnsi="Calibri" w:cs="Calibri"/>
          <w:sz w:val="24"/>
          <w:szCs w:val="24"/>
        </w:rPr>
        <w:t>T</w:t>
      </w:r>
      <w:r>
        <w:rPr>
          <w:rFonts w:ascii="Calibri" w:hAnsi="Calibri" w:cs="Calibri"/>
          <w:sz w:val="24"/>
          <w:szCs w:val="24"/>
        </w:rPr>
        <w:t>D</w:t>
      </w:r>
      <w:proofErr w:type="spellEnd"/>
      <w:r w:rsidRPr="003E6A1F">
        <w:rPr>
          <w:rFonts w:ascii="Calibri" w:hAnsi="Calibri" w:cs="Calibri"/>
          <w:sz w:val="24"/>
          <w:szCs w:val="24"/>
        </w:rPr>
        <w:t xml:space="preserve">) </w:t>
      </w:r>
      <w:r>
        <w:rPr>
          <w:rFonts w:ascii="Calibri" w:hAnsi="Calibri" w:cs="Calibri"/>
          <w:sz w:val="24"/>
          <w:szCs w:val="24"/>
        </w:rPr>
        <w:t xml:space="preserve">– Comparativo total nacional, región Pacífica y Cauca, entre </w:t>
      </w:r>
      <w:r w:rsidRPr="00037088">
        <w:rPr>
          <w:rFonts w:ascii="Calibri" w:hAnsi="Calibri" w:cs="Calibri"/>
          <w:sz w:val="24"/>
          <w:szCs w:val="24"/>
        </w:rPr>
        <w:t xml:space="preserve">2020 </w:t>
      </w:r>
      <w:r>
        <w:rPr>
          <w:rFonts w:ascii="Calibri" w:hAnsi="Calibri" w:cs="Calibri"/>
          <w:sz w:val="24"/>
          <w:szCs w:val="24"/>
        </w:rPr>
        <w:t>a</w:t>
      </w:r>
      <w:r w:rsidRPr="00037088">
        <w:rPr>
          <w:rFonts w:ascii="Calibri" w:hAnsi="Calibri" w:cs="Calibri"/>
          <w:sz w:val="24"/>
          <w:szCs w:val="24"/>
        </w:rPr>
        <w:t xml:space="preserve"> 2024</w:t>
      </w:r>
      <w:r>
        <w:rPr>
          <w:rFonts w:ascii="Calibri" w:hAnsi="Calibri" w:cs="Calibri"/>
          <w:sz w:val="24"/>
          <w:szCs w:val="24"/>
        </w:rPr>
        <w:t>.</w:t>
      </w:r>
    </w:p>
    <w:p w14:paraId="207A0467" w14:textId="77777777" w:rsidR="00156D51" w:rsidRDefault="00156D51" w:rsidP="001D31F7">
      <w:pPr>
        <w:spacing w:after="0" w:line="240" w:lineRule="auto"/>
        <w:jc w:val="both"/>
        <w:rPr>
          <w:rFonts w:ascii="Calibri" w:hAnsi="Calibri" w:cs="Calibri"/>
          <w:sz w:val="24"/>
          <w:szCs w:val="24"/>
        </w:rPr>
      </w:pPr>
    </w:p>
    <w:p w14:paraId="4FC2DAFF" w14:textId="0393A302" w:rsidR="00156D51" w:rsidRDefault="00156D51" w:rsidP="00D306B2">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7BEA0C7A" wp14:editId="282645BD">
            <wp:extent cx="5816297" cy="2842260"/>
            <wp:effectExtent l="0" t="0" r="0" b="0"/>
            <wp:docPr id="20501164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817" cy="2848867"/>
                    </a:xfrm>
                    <a:prstGeom prst="rect">
                      <a:avLst/>
                    </a:prstGeom>
                    <a:noFill/>
                  </pic:spPr>
                </pic:pic>
              </a:graphicData>
            </a:graphic>
          </wp:inline>
        </w:drawing>
      </w:r>
    </w:p>
    <w:p w14:paraId="2FD20687" w14:textId="77777777" w:rsidR="00156D51" w:rsidRPr="00037088" w:rsidRDefault="00156D51" w:rsidP="00156D51">
      <w:pPr>
        <w:spacing w:after="0" w:line="240" w:lineRule="auto"/>
        <w:jc w:val="both"/>
        <w:rPr>
          <w:rFonts w:ascii="Calibri" w:hAnsi="Calibri" w:cs="Calibri"/>
          <w:sz w:val="24"/>
          <w:szCs w:val="24"/>
        </w:rPr>
      </w:pPr>
      <w:r w:rsidRPr="00037088">
        <w:rPr>
          <w:rFonts w:ascii="Calibri" w:hAnsi="Calibri" w:cs="Calibri"/>
          <w:b/>
          <w:bCs/>
          <w:sz w:val="24"/>
          <w:szCs w:val="24"/>
        </w:rPr>
        <w:t>Fuente</w:t>
      </w:r>
      <w:r w:rsidRPr="00037088">
        <w:rPr>
          <w:rFonts w:ascii="Calibri" w:hAnsi="Calibri" w:cs="Calibri"/>
          <w:sz w:val="24"/>
          <w:szCs w:val="24"/>
        </w:rPr>
        <w:t xml:space="preserve">: DANE, </w:t>
      </w:r>
      <w:proofErr w:type="spellStart"/>
      <w:r w:rsidRPr="00037088">
        <w:rPr>
          <w:rFonts w:ascii="Calibri" w:hAnsi="Calibri" w:cs="Calibri"/>
          <w:sz w:val="24"/>
          <w:szCs w:val="24"/>
        </w:rPr>
        <w:t>GEIH</w:t>
      </w:r>
      <w:proofErr w:type="spellEnd"/>
      <w:r>
        <w:rPr>
          <w:rFonts w:ascii="Calibri" w:hAnsi="Calibri" w:cs="Calibri"/>
          <w:sz w:val="24"/>
          <w:szCs w:val="24"/>
        </w:rPr>
        <w:t xml:space="preserve"> (2024)</w:t>
      </w:r>
    </w:p>
    <w:p w14:paraId="27512FB4" w14:textId="77777777" w:rsidR="00156D51" w:rsidRDefault="00156D51" w:rsidP="00156D51">
      <w:pPr>
        <w:spacing w:after="0" w:line="240" w:lineRule="auto"/>
        <w:jc w:val="both"/>
        <w:rPr>
          <w:rFonts w:ascii="Calibri" w:hAnsi="Calibri" w:cs="Calibri"/>
          <w:sz w:val="24"/>
          <w:szCs w:val="24"/>
        </w:rPr>
      </w:pPr>
      <w:r w:rsidRPr="00037088">
        <w:rPr>
          <w:rFonts w:ascii="Calibri" w:hAnsi="Calibri" w:cs="Calibri"/>
          <w:sz w:val="24"/>
          <w:szCs w:val="24"/>
        </w:rPr>
        <w:t>Nota: cifras aproximadas a un decimal</w:t>
      </w:r>
    </w:p>
    <w:p w14:paraId="6D80A8FF" w14:textId="77777777" w:rsidR="00564162" w:rsidRDefault="00564162" w:rsidP="001D31F7">
      <w:pPr>
        <w:spacing w:after="0" w:line="240" w:lineRule="auto"/>
        <w:jc w:val="both"/>
        <w:rPr>
          <w:rFonts w:ascii="Calibri" w:hAnsi="Calibri" w:cs="Calibri"/>
          <w:sz w:val="24"/>
          <w:szCs w:val="24"/>
        </w:rPr>
      </w:pPr>
    </w:p>
    <w:p w14:paraId="613439C1" w14:textId="77777777" w:rsidR="00564162" w:rsidRDefault="00564162" w:rsidP="001D31F7">
      <w:pPr>
        <w:spacing w:after="0" w:line="240" w:lineRule="auto"/>
        <w:jc w:val="both"/>
        <w:rPr>
          <w:rFonts w:ascii="Calibri" w:hAnsi="Calibri" w:cs="Calibri"/>
          <w:sz w:val="24"/>
          <w:szCs w:val="24"/>
        </w:rPr>
      </w:pPr>
    </w:p>
    <w:p w14:paraId="227C9041" w14:textId="390ABB06" w:rsidR="003B0B04" w:rsidRDefault="003B0B04">
      <w:pPr>
        <w:rPr>
          <w:rFonts w:ascii="Calibri" w:hAnsi="Calibri" w:cs="Calibri"/>
          <w:sz w:val="24"/>
          <w:szCs w:val="24"/>
        </w:rPr>
      </w:pPr>
      <w:r>
        <w:rPr>
          <w:rFonts w:ascii="Calibri" w:hAnsi="Calibri" w:cs="Calibri"/>
          <w:sz w:val="24"/>
          <w:szCs w:val="24"/>
        </w:rPr>
        <w:br w:type="page"/>
      </w:r>
    </w:p>
    <w:p w14:paraId="6BB59DDC" w14:textId="53AEFD97" w:rsidR="00377BFD" w:rsidRDefault="003B0B04" w:rsidP="001D31F7">
      <w:pPr>
        <w:spacing w:after="0" w:line="240" w:lineRule="auto"/>
        <w:jc w:val="both"/>
        <w:rPr>
          <w:rFonts w:ascii="Calibri" w:hAnsi="Calibri" w:cs="Calibri"/>
          <w:sz w:val="24"/>
          <w:szCs w:val="24"/>
        </w:rPr>
      </w:pPr>
      <w:r w:rsidRPr="003B0B04">
        <w:rPr>
          <w:rFonts w:ascii="Calibri" w:hAnsi="Calibri" w:cs="Calibri"/>
          <w:b/>
          <w:bCs/>
          <w:sz w:val="24"/>
          <w:szCs w:val="24"/>
        </w:rPr>
        <w:lastRenderedPageBreak/>
        <w:t>GLOSARIO</w:t>
      </w:r>
    </w:p>
    <w:p w14:paraId="4353876C" w14:textId="77777777" w:rsidR="00377BFD" w:rsidRDefault="00377BFD" w:rsidP="001D31F7">
      <w:pPr>
        <w:spacing w:after="0" w:line="240" w:lineRule="auto"/>
        <w:jc w:val="both"/>
        <w:rPr>
          <w:rFonts w:ascii="Calibri" w:hAnsi="Calibri" w:cs="Calibri"/>
          <w:sz w:val="24"/>
          <w:szCs w:val="24"/>
        </w:rPr>
      </w:pPr>
    </w:p>
    <w:p w14:paraId="2C908D4D" w14:textId="3834272E" w:rsidR="00D228B9" w:rsidRDefault="00D228B9" w:rsidP="001D31F7">
      <w:pPr>
        <w:spacing w:after="0" w:line="240" w:lineRule="auto"/>
        <w:jc w:val="both"/>
        <w:rPr>
          <w:rFonts w:ascii="Calibri" w:hAnsi="Calibri" w:cs="Calibri"/>
          <w:sz w:val="24"/>
          <w:szCs w:val="24"/>
        </w:rPr>
      </w:pPr>
      <w:r>
        <w:rPr>
          <w:rFonts w:ascii="Calibri" w:hAnsi="Calibri" w:cs="Calibri"/>
          <w:sz w:val="24"/>
          <w:szCs w:val="24"/>
        </w:rPr>
        <w:t xml:space="preserve">Se presentan los principales términos, según el Departamento Administrativo Nacional de Estadística </w:t>
      </w:r>
      <w:r w:rsidR="00CD3434">
        <w:rPr>
          <w:rFonts w:ascii="Calibri" w:hAnsi="Calibri" w:cs="Calibri"/>
          <w:sz w:val="24"/>
          <w:szCs w:val="24"/>
        </w:rPr>
        <w:fldChar w:fldCharType="begin" w:fldLock="1"/>
      </w:r>
      <w:r w:rsidR="00CD3434">
        <w:rPr>
          <w:rFonts w:ascii="Calibri" w:hAnsi="Calibri" w:cs="Calibri"/>
          <w:sz w:val="24"/>
          <w:szCs w:val="24"/>
        </w:rPr>
        <w:instrText>ADDIN CSL_CITATION {"citationItems":[{"id":"ITEM-1","itemData":{"author":[{"dropping-particle":"","family":"DANE","given":"","non-dropping-particle":"","parse-names":false,"suffix":""}],"id":"ITEM-1","issued":{"date-parts":[["2025"]]},"title":"Mercado laboral por departamentos","type":"report"},"uris":["http://www.mendeley.com/documents/?uuid=a461e2b6-24b3-4a27-b4a0-4bf30dd52265"]}],"mendeley":{"formattedCitation":"(DANE, 2025)","plainTextFormattedCitation":"(DANE, 2025)"},"properties":{"noteIndex":0},"schema":"https://github.com/citation-style-language/schema/raw/master/csl-citation.json"}</w:instrText>
      </w:r>
      <w:r w:rsidR="00CD3434">
        <w:rPr>
          <w:rFonts w:ascii="Calibri" w:hAnsi="Calibri" w:cs="Calibri"/>
          <w:sz w:val="24"/>
          <w:szCs w:val="24"/>
        </w:rPr>
        <w:fldChar w:fldCharType="separate"/>
      </w:r>
      <w:r w:rsidR="00CD3434" w:rsidRPr="00CD3434">
        <w:rPr>
          <w:rFonts w:ascii="Calibri" w:hAnsi="Calibri" w:cs="Calibri"/>
          <w:noProof/>
          <w:sz w:val="24"/>
          <w:szCs w:val="24"/>
        </w:rPr>
        <w:t>(DANE, 2025)</w:t>
      </w:r>
      <w:r w:rsidR="00CD3434">
        <w:rPr>
          <w:rFonts w:ascii="Calibri" w:hAnsi="Calibri" w:cs="Calibri"/>
          <w:sz w:val="24"/>
          <w:szCs w:val="24"/>
        </w:rPr>
        <w:fldChar w:fldCharType="end"/>
      </w:r>
      <w:r w:rsidR="00CD3434">
        <w:rPr>
          <w:rFonts w:ascii="Calibri" w:hAnsi="Calibri" w:cs="Calibri"/>
          <w:sz w:val="24"/>
          <w:szCs w:val="24"/>
        </w:rPr>
        <w:t>:</w:t>
      </w:r>
    </w:p>
    <w:p w14:paraId="7A77078D" w14:textId="77777777" w:rsidR="00D228B9" w:rsidRDefault="00D228B9" w:rsidP="001D31F7">
      <w:pPr>
        <w:spacing w:after="0" w:line="240" w:lineRule="auto"/>
        <w:jc w:val="both"/>
        <w:rPr>
          <w:rFonts w:ascii="Calibri" w:hAnsi="Calibri" w:cs="Calibri"/>
          <w:sz w:val="24"/>
          <w:szCs w:val="24"/>
        </w:rPr>
      </w:pPr>
    </w:p>
    <w:p w14:paraId="27CFF946" w14:textId="5E433762" w:rsidR="003D2061" w:rsidRPr="003D2061" w:rsidRDefault="003D2061" w:rsidP="003D2061">
      <w:pPr>
        <w:spacing w:after="0" w:line="240" w:lineRule="auto"/>
        <w:jc w:val="both"/>
        <w:rPr>
          <w:rFonts w:ascii="Calibri" w:hAnsi="Calibri" w:cs="Calibri"/>
          <w:sz w:val="24"/>
          <w:szCs w:val="24"/>
        </w:rPr>
      </w:pPr>
      <w:r w:rsidRPr="003D2061">
        <w:rPr>
          <w:rFonts w:ascii="Calibri" w:hAnsi="Calibri" w:cs="Calibri"/>
          <w:b/>
          <w:bCs/>
          <w:sz w:val="24"/>
          <w:szCs w:val="24"/>
        </w:rPr>
        <w:t>Tasa global de participación (</w:t>
      </w:r>
      <w:proofErr w:type="spellStart"/>
      <w:r w:rsidRPr="003D2061">
        <w:rPr>
          <w:rFonts w:ascii="Calibri" w:hAnsi="Calibri" w:cs="Calibri"/>
          <w:b/>
          <w:bCs/>
          <w:sz w:val="24"/>
          <w:szCs w:val="24"/>
        </w:rPr>
        <w:t>TGP</w:t>
      </w:r>
      <w:proofErr w:type="spellEnd"/>
      <w:r w:rsidRPr="003D2061">
        <w:rPr>
          <w:rFonts w:ascii="Calibri" w:hAnsi="Calibri" w:cs="Calibri"/>
          <w:b/>
          <w:bCs/>
          <w:sz w:val="24"/>
          <w:szCs w:val="24"/>
        </w:rPr>
        <w:t>):</w:t>
      </w:r>
      <w:r w:rsidRPr="003D2061">
        <w:rPr>
          <w:rFonts w:ascii="Calibri" w:hAnsi="Calibri" w:cs="Calibri"/>
          <w:sz w:val="24"/>
          <w:szCs w:val="24"/>
        </w:rPr>
        <w:t xml:space="preserve"> relación porcentual entre la fuerza de trabajo (FT) y la</w:t>
      </w:r>
      <w:r w:rsidR="008B1BD8">
        <w:rPr>
          <w:rFonts w:ascii="Calibri" w:hAnsi="Calibri" w:cs="Calibri"/>
          <w:sz w:val="24"/>
          <w:szCs w:val="24"/>
        </w:rPr>
        <w:t xml:space="preserve"> </w:t>
      </w:r>
      <w:r w:rsidRPr="003D2061">
        <w:rPr>
          <w:rFonts w:ascii="Calibri" w:hAnsi="Calibri" w:cs="Calibri"/>
          <w:sz w:val="24"/>
          <w:szCs w:val="24"/>
        </w:rPr>
        <w:t>población en edad de trabajar (PET). Este indicador refleja la presión de la población en edad</w:t>
      </w:r>
      <w:r w:rsidR="008B1BD8">
        <w:rPr>
          <w:rFonts w:ascii="Calibri" w:hAnsi="Calibri" w:cs="Calibri"/>
          <w:sz w:val="24"/>
          <w:szCs w:val="24"/>
        </w:rPr>
        <w:t xml:space="preserve"> </w:t>
      </w:r>
      <w:r w:rsidRPr="003D2061">
        <w:rPr>
          <w:rFonts w:ascii="Calibri" w:hAnsi="Calibri" w:cs="Calibri"/>
          <w:sz w:val="24"/>
          <w:szCs w:val="24"/>
        </w:rPr>
        <w:t>de trabajar sobre el mercado laboral.</w:t>
      </w:r>
      <w:r w:rsidR="008B1BD8">
        <w:rPr>
          <w:rFonts w:ascii="Calibri" w:hAnsi="Calibri" w:cs="Calibri"/>
          <w:sz w:val="24"/>
          <w:szCs w:val="24"/>
        </w:rPr>
        <w:t xml:space="preserve"> (</w:t>
      </w:r>
      <w:proofErr w:type="spellStart"/>
      <w:r w:rsidR="008B1BD8">
        <w:rPr>
          <w:rFonts w:ascii="Cambria Math" w:hAnsi="Cambria Math" w:cs="Cambria Math"/>
          <w:sz w:val="24"/>
          <w:szCs w:val="24"/>
        </w:rPr>
        <w:t>TG</w:t>
      </w:r>
      <w:proofErr w:type="spellEnd"/>
      <w:r w:rsidRPr="003D2061">
        <w:rPr>
          <w:rFonts w:ascii="Cambria Math" w:hAnsi="Cambria Math" w:cs="Cambria Math"/>
          <w:sz w:val="24"/>
          <w:szCs w:val="24"/>
        </w:rPr>
        <w:t>𝑃</w:t>
      </w:r>
      <w:r w:rsidRPr="003D2061">
        <w:rPr>
          <w:rFonts w:ascii="Calibri" w:hAnsi="Calibri" w:cs="Calibri"/>
          <w:sz w:val="24"/>
          <w:szCs w:val="24"/>
        </w:rPr>
        <w:t xml:space="preserve"> =</w:t>
      </w:r>
      <w:r w:rsidR="008B1BD8">
        <w:rPr>
          <w:rFonts w:ascii="Calibri" w:hAnsi="Calibri" w:cs="Calibri"/>
          <w:sz w:val="24"/>
          <w:szCs w:val="24"/>
        </w:rPr>
        <w:t xml:space="preserve"> </w:t>
      </w:r>
      <w:r w:rsidRPr="003D2061">
        <w:rPr>
          <w:rFonts w:ascii="Cambria Math" w:hAnsi="Cambria Math" w:cs="Cambria Math"/>
          <w:sz w:val="24"/>
          <w:szCs w:val="24"/>
        </w:rPr>
        <w:t>𝐹𝑇</w:t>
      </w:r>
      <w:r w:rsidR="008B1BD8">
        <w:rPr>
          <w:rFonts w:ascii="Cambria Math" w:hAnsi="Cambria Math" w:cs="Cambria Math"/>
          <w:sz w:val="24"/>
          <w:szCs w:val="24"/>
        </w:rPr>
        <w:t xml:space="preserve"> / </w:t>
      </w:r>
      <w:r w:rsidRPr="003D2061">
        <w:rPr>
          <w:rFonts w:ascii="Cambria Math" w:hAnsi="Cambria Math" w:cs="Cambria Math"/>
          <w:sz w:val="24"/>
          <w:szCs w:val="24"/>
        </w:rPr>
        <w:t>𝑃𝐸𝑇</w:t>
      </w:r>
      <w:r w:rsidRPr="003D2061">
        <w:rPr>
          <w:rFonts w:ascii="Calibri" w:hAnsi="Calibri" w:cs="Calibri"/>
          <w:sz w:val="24"/>
          <w:szCs w:val="24"/>
        </w:rPr>
        <w:t xml:space="preserve"> </w:t>
      </w:r>
      <w:r w:rsidRPr="003D2061">
        <w:rPr>
          <w:rFonts w:ascii="Cambria Math" w:hAnsi="Cambria Math" w:cs="Cambria Math"/>
          <w:sz w:val="24"/>
          <w:szCs w:val="24"/>
        </w:rPr>
        <w:t>𝑥</w:t>
      </w:r>
      <w:r w:rsidRPr="003D2061">
        <w:rPr>
          <w:rFonts w:ascii="Calibri" w:hAnsi="Calibri" w:cs="Calibri"/>
          <w:sz w:val="24"/>
          <w:szCs w:val="24"/>
        </w:rPr>
        <w:t xml:space="preserve"> 100</w:t>
      </w:r>
      <w:r w:rsidR="008B1BD8">
        <w:rPr>
          <w:rFonts w:ascii="Calibri" w:hAnsi="Calibri" w:cs="Calibri"/>
          <w:sz w:val="24"/>
          <w:szCs w:val="24"/>
        </w:rPr>
        <w:t>)</w:t>
      </w:r>
    </w:p>
    <w:p w14:paraId="6C0C8FE7" w14:textId="77777777" w:rsidR="008B1BD8" w:rsidRDefault="008B1BD8" w:rsidP="003D2061">
      <w:pPr>
        <w:spacing w:after="0" w:line="240" w:lineRule="auto"/>
        <w:jc w:val="both"/>
        <w:rPr>
          <w:rFonts w:ascii="Calibri" w:hAnsi="Calibri" w:cs="Calibri"/>
          <w:sz w:val="24"/>
          <w:szCs w:val="24"/>
        </w:rPr>
      </w:pPr>
    </w:p>
    <w:p w14:paraId="7B7DDEA9" w14:textId="7E7D4540" w:rsidR="003D2061" w:rsidRPr="003D2061" w:rsidRDefault="003D2061" w:rsidP="003D2061">
      <w:pPr>
        <w:spacing w:after="0" w:line="240" w:lineRule="auto"/>
        <w:jc w:val="both"/>
        <w:rPr>
          <w:rFonts w:ascii="Calibri" w:hAnsi="Calibri" w:cs="Calibri"/>
          <w:sz w:val="24"/>
          <w:szCs w:val="24"/>
        </w:rPr>
      </w:pPr>
      <w:r w:rsidRPr="008B1BD8">
        <w:rPr>
          <w:rFonts w:ascii="Calibri" w:hAnsi="Calibri" w:cs="Calibri"/>
          <w:b/>
          <w:bCs/>
          <w:sz w:val="24"/>
          <w:szCs w:val="24"/>
        </w:rPr>
        <w:t>Tasa de desocupación (</w:t>
      </w:r>
      <w:proofErr w:type="spellStart"/>
      <w:r w:rsidRPr="008B1BD8">
        <w:rPr>
          <w:rFonts w:ascii="Calibri" w:hAnsi="Calibri" w:cs="Calibri"/>
          <w:b/>
          <w:bCs/>
          <w:sz w:val="24"/>
          <w:szCs w:val="24"/>
        </w:rPr>
        <w:t>TD</w:t>
      </w:r>
      <w:proofErr w:type="spellEnd"/>
      <w:r w:rsidRPr="008B1BD8">
        <w:rPr>
          <w:rFonts w:ascii="Calibri" w:hAnsi="Calibri" w:cs="Calibri"/>
          <w:b/>
          <w:bCs/>
          <w:sz w:val="24"/>
          <w:szCs w:val="24"/>
        </w:rPr>
        <w:t>)</w:t>
      </w:r>
      <w:r w:rsidR="008B1BD8" w:rsidRPr="008B1BD8">
        <w:rPr>
          <w:rFonts w:ascii="Calibri" w:hAnsi="Calibri" w:cs="Calibri"/>
          <w:b/>
          <w:bCs/>
          <w:sz w:val="24"/>
          <w:szCs w:val="24"/>
        </w:rPr>
        <w:t>:</w:t>
      </w:r>
      <w:r w:rsidR="008B1BD8">
        <w:rPr>
          <w:rFonts w:ascii="Calibri" w:hAnsi="Calibri" w:cs="Calibri"/>
          <w:sz w:val="24"/>
          <w:szCs w:val="24"/>
        </w:rPr>
        <w:t xml:space="preserve"> </w:t>
      </w:r>
      <w:r w:rsidRPr="003D2061">
        <w:rPr>
          <w:rFonts w:ascii="Calibri" w:hAnsi="Calibri" w:cs="Calibri"/>
          <w:sz w:val="24"/>
          <w:szCs w:val="24"/>
        </w:rPr>
        <w:t>relación porcentual entre el número de personas desocupadas</w:t>
      </w:r>
      <w:r w:rsidR="008B1BD8">
        <w:rPr>
          <w:rFonts w:ascii="Calibri" w:hAnsi="Calibri" w:cs="Calibri"/>
          <w:sz w:val="24"/>
          <w:szCs w:val="24"/>
        </w:rPr>
        <w:t xml:space="preserve"> </w:t>
      </w:r>
      <w:r w:rsidRPr="003D2061">
        <w:rPr>
          <w:rFonts w:ascii="Calibri" w:hAnsi="Calibri" w:cs="Calibri"/>
          <w:sz w:val="24"/>
          <w:szCs w:val="24"/>
        </w:rPr>
        <w:t>(</w:t>
      </w:r>
      <w:proofErr w:type="spellStart"/>
      <w:r w:rsidRPr="003D2061">
        <w:rPr>
          <w:rFonts w:ascii="Calibri" w:hAnsi="Calibri" w:cs="Calibri"/>
          <w:sz w:val="24"/>
          <w:szCs w:val="24"/>
        </w:rPr>
        <w:t>DS</w:t>
      </w:r>
      <w:proofErr w:type="spellEnd"/>
      <w:r w:rsidRPr="003D2061">
        <w:rPr>
          <w:rFonts w:ascii="Calibri" w:hAnsi="Calibri" w:cs="Calibri"/>
          <w:sz w:val="24"/>
          <w:szCs w:val="24"/>
        </w:rPr>
        <w:t>) y el número de personas que integran la fuerza de trabajo (FT).</w:t>
      </w:r>
      <w:r w:rsidR="008B1BD8">
        <w:rPr>
          <w:rFonts w:ascii="Calibri" w:hAnsi="Calibri" w:cs="Calibri"/>
          <w:sz w:val="24"/>
          <w:szCs w:val="24"/>
        </w:rPr>
        <w:t xml:space="preserve"> (</w:t>
      </w:r>
      <w:r w:rsidRPr="003D2061">
        <w:rPr>
          <w:rFonts w:ascii="Cambria Math" w:hAnsi="Cambria Math" w:cs="Cambria Math"/>
          <w:sz w:val="24"/>
          <w:szCs w:val="24"/>
        </w:rPr>
        <w:t>𝑇𝐷</w:t>
      </w:r>
      <w:r w:rsidRPr="003D2061">
        <w:rPr>
          <w:rFonts w:ascii="Calibri" w:hAnsi="Calibri" w:cs="Calibri"/>
          <w:sz w:val="24"/>
          <w:szCs w:val="24"/>
        </w:rPr>
        <w:t xml:space="preserve"> =</w:t>
      </w:r>
      <w:r w:rsidR="008B1BD8">
        <w:rPr>
          <w:rFonts w:ascii="Calibri" w:hAnsi="Calibri" w:cs="Calibri"/>
          <w:sz w:val="24"/>
          <w:szCs w:val="24"/>
        </w:rPr>
        <w:t xml:space="preserve"> </w:t>
      </w:r>
      <w:r w:rsidRPr="003D2061">
        <w:rPr>
          <w:rFonts w:ascii="Cambria Math" w:hAnsi="Cambria Math" w:cs="Cambria Math"/>
          <w:sz w:val="24"/>
          <w:szCs w:val="24"/>
        </w:rPr>
        <w:t>𝐷𝑆</w:t>
      </w:r>
      <w:r w:rsidR="008B1BD8">
        <w:rPr>
          <w:rFonts w:ascii="Cambria Math" w:hAnsi="Cambria Math" w:cs="Cambria Math"/>
          <w:sz w:val="24"/>
          <w:szCs w:val="24"/>
        </w:rPr>
        <w:t xml:space="preserve"> / </w:t>
      </w:r>
      <w:r w:rsidRPr="003D2061">
        <w:rPr>
          <w:rFonts w:ascii="Cambria Math" w:hAnsi="Cambria Math" w:cs="Cambria Math"/>
          <w:sz w:val="24"/>
          <w:szCs w:val="24"/>
        </w:rPr>
        <w:t>𝐹𝑇</w:t>
      </w:r>
      <w:r w:rsidRPr="003D2061">
        <w:rPr>
          <w:rFonts w:ascii="Calibri" w:hAnsi="Calibri" w:cs="Calibri"/>
          <w:sz w:val="24"/>
          <w:szCs w:val="24"/>
        </w:rPr>
        <w:t xml:space="preserve"> </w:t>
      </w:r>
      <w:r w:rsidRPr="003D2061">
        <w:rPr>
          <w:rFonts w:ascii="Cambria Math" w:hAnsi="Cambria Math" w:cs="Cambria Math"/>
          <w:sz w:val="24"/>
          <w:szCs w:val="24"/>
        </w:rPr>
        <w:t>𝑥</w:t>
      </w:r>
      <w:r w:rsidRPr="003D2061">
        <w:rPr>
          <w:rFonts w:ascii="Calibri" w:hAnsi="Calibri" w:cs="Calibri"/>
          <w:sz w:val="24"/>
          <w:szCs w:val="24"/>
        </w:rPr>
        <w:t xml:space="preserve"> 100</w:t>
      </w:r>
      <w:r w:rsidR="008B1BD8">
        <w:rPr>
          <w:rFonts w:ascii="Calibri" w:hAnsi="Calibri" w:cs="Calibri"/>
          <w:sz w:val="24"/>
          <w:szCs w:val="24"/>
        </w:rPr>
        <w:t>)</w:t>
      </w:r>
    </w:p>
    <w:p w14:paraId="7894A1B1" w14:textId="77777777" w:rsidR="008B1BD8" w:rsidRDefault="008B1BD8" w:rsidP="003D2061">
      <w:pPr>
        <w:spacing w:after="0" w:line="240" w:lineRule="auto"/>
        <w:jc w:val="both"/>
        <w:rPr>
          <w:rFonts w:ascii="Calibri" w:hAnsi="Calibri" w:cs="Calibri"/>
          <w:sz w:val="24"/>
          <w:szCs w:val="24"/>
        </w:rPr>
      </w:pPr>
    </w:p>
    <w:p w14:paraId="53BC3A2A" w14:textId="5BEC3A21" w:rsidR="003D2061" w:rsidRDefault="003D2061" w:rsidP="003D2061">
      <w:pPr>
        <w:spacing w:after="0" w:line="240" w:lineRule="auto"/>
        <w:jc w:val="both"/>
        <w:rPr>
          <w:rFonts w:ascii="Calibri" w:hAnsi="Calibri" w:cs="Calibri"/>
          <w:sz w:val="24"/>
          <w:szCs w:val="24"/>
        </w:rPr>
      </w:pPr>
      <w:r w:rsidRPr="008B1BD8">
        <w:rPr>
          <w:rFonts w:ascii="Calibri" w:hAnsi="Calibri" w:cs="Calibri"/>
          <w:b/>
          <w:bCs/>
          <w:sz w:val="24"/>
          <w:szCs w:val="24"/>
        </w:rPr>
        <w:t>Tasa de ocupación (</w:t>
      </w:r>
      <w:proofErr w:type="spellStart"/>
      <w:r w:rsidRPr="008B1BD8">
        <w:rPr>
          <w:rFonts w:ascii="Calibri" w:hAnsi="Calibri" w:cs="Calibri"/>
          <w:b/>
          <w:bCs/>
          <w:sz w:val="24"/>
          <w:szCs w:val="24"/>
        </w:rPr>
        <w:t>TO</w:t>
      </w:r>
      <w:proofErr w:type="spellEnd"/>
      <w:r w:rsidRPr="008B1BD8">
        <w:rPr>
          <w:rFonts w:ascii="Calibri" w:hAnsi="Calibri" w:cs="Calibri"/>
          <w:b/>
          <w:bCs/>
          <w:sz w:val="24"/>
          <w:szCs w:val="24"/>
        </w:rPr>
        <w:t>):</w:t>
      </w:r>
      <w:r w:rsidRPr="003D2061">
        <w:rPr>
          <w:rFonts w:ascii="Calibri" w:hAnsi="Calibri" w:cs="Calibri"/>
          <w:sz w:val="24"/>
          <w:szCs w:val="24"/>
        </w:rPr>
        <w:t xml:space="preserve"> relación porcentual entre la población ocupada (</w:t>
      </w:r>
      <w:proofErr w:type="spellStart"/>
      <w:r w:rsidRPr="003D2061">
        <w:rPr>
          <w:rFonts w:ascii="Calibri" w:hAnsi="Calibri" w:cs="Calibri"/>
          <w:sz w:val="24"/>
          <w:szCs w:val="24"/>
        </w:rPr>
        <w:t>OC</w:t>
      </w:r>
      <w:proofErr w:type="spellEnd"/>
      <w:r w:rsidRPr="003D2061">
        <w:rPr>
          <w:rFonts w:ascii="Calibri" w:hAnsi="Calibri" w:cs="Calibri"/>
          <w:sz w:val="24"/>
          <w:szCs w:val="24"/>
        </w:rPr>
        <w:t>) y el número de</w:t>
      </w:r>
      <w:r w:rsidR="008B1BD8">
        <w:rPr>
          <w:rFonts w:ascii="Calibri" w:hAnsi="Calibri" w:cs="Calibri"/>
          <w:sz w:val="24"/>
          <w:szCs w:val="24"/>
        </w:rPr>
        <w:t xml:space="preserve"> </w:t>
      </w:r>
      <w:r w:rsidRPr="003D2061">
        <w:rPr>
          <w:rFonts w:ascii="Calibri" w:hAnsi="Calibri" w:cs="Calibri"/>
          <w:sz w:val="24"/>
          <w:szCs w:val="24"/>
        </w:rPr>
        <w:t>personas que integran la población en edad de trabajar (PET).</w:t>
      </w:r>
      <w:r w:rsidR="008B1BD8">
        <w:rPr>
          <w:rFonts w:ascii="Calibri" w:hAnsi="Calibri" w:cs="Calibri"/>
          <w:sz w:val="24"/>
          <w:szCs w:val="24"/>
        </w:rPr>
        <w:t xml:space="preserve"> (</w:t>
      </w:r>
      <w:r w:rsidRPr="003D2061">
        <w:rPr>
          <w:rFonts w:ascii="Cambria Math" w:hAnsi="Cambria Math" w:cs="Cambria Math"/>
          <w:sz w:val="24"/>
          <w:szCs w:val="24"/>
        </w:rPr>
        <w:t>𝑇𝑂</w:t>
      </w:r>
      <w:r w:rsidRPr="003D2061">
        <w:rPr>
          <w:rFonts w:ascii="Calibri" w:hAnsi="Calibri" w:cs="Calibri"/>
          <w:sz w:val="24"/>
          <w:szCs w:val="24"/>
        </w:rPr>
        <w:t xml:space="preserve"> =</w:t>
      </w:r>
      <w:r w:rsidR="008B1BD8">
        <w:rPr>
          <w:rFonts w:ascii="Calibri" w:hAnsi="Calibri" w:cs="Calibri"/>
          <w:sz w:val="24"/>
          <w:szCs w:val="24"/>
        </w:rPr>
        <w:t xml:space="preserve"> </w:t>
      </w:r>
      <w:r w:rsidRPr="003D2061">
        <w:rPr>
          <w:rFonts w:ascii="Cambria Math" w:hAnsi="Cambria Math" w:cs="Cambria Math"/>
          <w:sz w:val="24"/>
          <w:szCs w:val="24"/>
        </w:rPr>
        <w:t>𝑂𝐶</w:t>
      </w:r>
      <w:r w:rsidR="008B1BD8">
        <w:rPr>
          <w:rFonts w:ascii="Cambria Math" w:hAnsi="Cambria Math" w:cs="Cambria Math"/>
          <w:sz w:val="24"/>
          <w:szCs w:val="24"/>
        </w:rPr>
        <w:t xml:space="preserve"> / </w:t>
      </w:r>
      <w:r w:rsidRPr="003D2061">
        <w:rPr>
          <w:rFonts w:ascii="Cambria Math" w:hAnsi="Cambria Math" w:cs="Cambria Math"/>
          <w:sz w:val="24"/>
          <w:szCs w:val="24"/>
        </w:rPr>
        <w:t>𝑃𝐸𝑇</w:t>
      </w:r>
      <w:r w:rsidRPr="003D2061">
        <w:rPr>
          <w:rFonts w:ascii="Calibri" w:hAnsi="Calibri" w:cs="Calibri"/>
          <w:sz w:val="24"/>
          <w:szCs w:val="24"/>
        </w:rPr>
        <w:t xml:space="preserve"> </w:t>
      </w:r>
      <w:r w:rsidRPr="003D2061">
        <w:rPr>
          <w:rFonts w:ascii="Cambria Math" w:hAnsi="Cambria Math" w:cs="Cambria Math"/>
          <w:sz w:val="24"/>
          <w:szCs w:val="24"/>
        </w:rPr>
        <w:t>𝑥</w:t>
      </w:r>
      <w:r w:rsidRPr="003D2061">
        <w:rPr>
          <w:rFonts w:ascii="Calibri" w:hAnsi="Calibri" w:cs="Calibri"/>
          <w:sz w:val="24"/>
          <w:szCs w:val="24"/>
        </w:rPr>
        <w:t xml:space="preserve"> 100</w:t>
      </w:r>
      <w:r w:rsidR="008B1BD8">
        <w:rPr>
          <w:rFonts w:ascii="Calibri" w:hAnsi="Calibri" w:cs="Calibri"/>
          <w:sz w:val="24"/>
          <w:szCs w:val="24"/>
        </w:rPr>
        <w:t>)</w:t>
      </w:r>
    </w:p>
    <w:p w14:paraId="71E51396" w14:textId="77777777" w:rsidR="008B1BD8" w:rsidRPr="003D2061" w:rsidRDefault="008B1BD8" w:rsidP="003D2061">
      <w:pPr>
        <w:spacing w:after="0" w:line="240" w:lineRule="auto"/>
        <w:jc w:val="both"/>
        <w:rPr>
          <w:rFonts w:ascii="Calibri" w:hAnsi="Calibri" w:cs="Calibri"/>
          <w:sz w:val="24"/>
          <w:szCs w:val="24"/>
        </w:rPr>
      </w:pPr>
    </w:p>
    <w:p w14:paraId="648AE75E" w14:textId="6B12C3BB" w:rsidR="003B0B04" w:rsidRDefault="003D2061" w:rsidP="003D2061">
      <w:pPr>
        <w:spacing w:after="0" w:line="240" w:lineRule="auto"/>
        <w:jc w:val="both"/>
        <w:rPr>
          <w:rFonts w:ascii="Calibri" w:hAnsi="Calibri" w:cs="Calibri"/>
          <w:sz w:val="24"/>
          <w:szCs w:val="24"/>
        </w:rPr>
      </w:pPr>
      <w:r w:rsidRPr="008B1BD8">
        <w:rPr>
          <w:rFonts w:ascii="Calibri" w:hAnsi="Calibri" w:cs="Calibri"/>
          <w:b/>
          <w:bCs/>
          <w:sz w:val="24"/>
          <w:szCs w:val="24"/>
        </w:rPr>
        <w:t>Tasa de subocupación (</w:t>
      </w:r>
      <w:proofErr w:type="spellStart"/>
      <w:r w:rsidRPr="008B1BD8">
        <w:rPr>
          <w:rFonts w:ascii="Calibri" w:hAnsi="Calibri" w:cs="Calibri"/>
          <w:b/>
          <w:bCs/>
          <w:sz w:val="24"/>
          <w:szCs w:val="24"/>
        </w:rPr>
        <w:t>TS</w:t>
      </w:r>
      <w:proofErr w:type="spellEnd"/>
      <w:r w:rsidRPr="008B1BD8">
        <w:rPr>
          <w:rFonts w:ascii="Calibri" w:hAnsi="Calibri" w:cs="Calibri"/>
          <w:b/>
          <w:bCs/>
          <w:sz w:val="24"/>
          <w:szCs w:val="24"/>
        </w:rPr>
        <w:t>):</w:t>
      </w:r>
      <w:r w:rsidRPr="003D2061">
        <w:rPr>
          <w:rFonts w:ascii="Calibri" w:hAnsi="Calibri" w:cs="Calibri"/>
          <w:sz w:val="24"/>
          <w:szCs w:val="24"/>
        </w:rPr>
        <w:t xml:space="preserve"> relación porcentual de la población ocupada que manifestó</w:t>
      </w:r>
      <w:r w:rsidR="008B1BD8">
        <w:rPr>
          <w:rFonts w:ascii="Calibri" w:hAnsi="Calibri" w:cs="Calibri"/>
          <w:sz w:val="24"/>
          <w:szCs w:val="24"/>
        </w:rPr>
        <w:t xml:space="preserve"> </w:t>
      </w:r>
      <w:r w:rsidRPr="003D2061">
        <w:rPr>
          <w:rFonts w:ascii="Calibri" w:hAnsi="Calibri" w:cs="Calibri"/>
          <w:sz w:val="24"/>
          <w:szCs w:val="24"/>
        </w:rPr>
        <w:t>querer y poder trabajar más horas a la semana, mejorar sus ingresos y/o tener una labor más</w:t>
      </w:r>
      <w:r w:rsidR="008B1BD8">
        <w:rPr>
          <w:rFonts w:ascii="Calibri" w:hAnsi="Calibri" w:cs="Calibri"/>
          <w:sz w:val="24"/>
          <w:szCs w:val="24"/>
        </w:rPr>
        <w:t xml:space="preserve"> </w:t>
      </w:r>
      <w:r w:rsidRPr="003D2061">
        <w:rPr>
          <w:rFonts w:ascii="Calibri" w:hAnsi="Calibri" w:cs="Calibri"/>
          <w:sz w:val="24"/>
          <w:szCs w:val="24"/>
        </w:rPr>
        <w:t>propia de sus competencias (PS) y el número de personas que integran la fuerza de trabajo</w:t>
      </w:r>
      <w:r w:rsidR="008B1BD8">
        <w:rPr>
          <w:rFonts w:ascii="Calibri" w:hAnsi="Calibri" w:cs="Calibri"/>
          <w:sz w:val="24"/>
          <w:szCs w:val="24"/>
        </w:rPr>
        <w:t xml:space="preserve"> </w:t>
      </w:r>
      <w:r w:rsidRPr="003D2061">
        <w:rPr>
          <w:rFonts w:ascii="Calibri" w:hAnsi="Calibri" w:cs="Calibri"/>
          <w:sz w:val="24"/>
          <w:szCs w:val="24"/>
        </w:rPr>
        <w:t>(FT).</w:t>
      </w:r>
      <w:r w:rsidR="008B1BD8">
        <w:rPr>
          <w:rFonts w:ascii="Calibri" w:hAnsi="Calibri" w:cs="Calibri"/>
          <w:sz w:val="24"/>
          <w:szCs w:val="24"/>
        </w:rPr>
        <w:t xml:space="preserve"> (</w:t>
      </w:r>
      <w:r w:rsidRPr="003D2061">
        <w:rPr>
          <w:rFonts w:ascii="Cambria Math" w:hAnsi="Cambria Math" w:cs="Cambria Math"/>
          <w:sz w:val="24"/>
          <w:szCs w:val="24"/>
        </w:rPr>
        <w:t>𝑇𝑆</w:t>
      </w:r>
      <w:r w:rsidRPr="003D2061">
        <w:rPr>
          <w:rFonts w:ascii="Calibri" w:hAnsi="Calibri" w:cs="Calibri"/>
          <w:sz w:val="24"/>
          <w:szCs w:val="24"/>
        </w:rPr>
        <w:t xml:space="preserve"> =</w:t>
      </w:r>
      <w:r w:rsidR="008B1BD8">
        <w:rPr>
          <w:rFonts w:ascii="Calibri" w:hAnsi="Calibri" w:cs="Calibri"/>
          <w:sz w:val="24"/>
          <w:szCs w:val="24"/>
        </w:rPr>
        <w:t xml:space="preserve"> </w:t>
      </w:r>
      <w:r w:rsidRPr="003D2061">
        <w:rPr>
          <w:rFonts w:ascii="Cambria Math" w:hAnsi="Cambria Math" w:cs="Cambria Math"/>
          <w:sz w:val="24"/>
          <w:szCs w:val="24"/>
        </w:rPr>
        <w:t>𝑃𝑆</w:t>
      </w:r>
      <w:r w:rsidR="008B1BD8">
        <w:rPr>
          <w:rFonts w:ascii="Cambria Math" w:hAnsi="Cambria Math" w:cs="Cambria Math"/>
          <w:sz w:val="24"/>
          <w:szCs w:val="24"/>
        </w:rPr>
        <w:t xml:space="preserve"> / </w:t>
      </w:r>
      <w:r w:rsidRPr="003D2061">
        <w:rPr>
          <w:rFonts w:ascii="Cambria Math" w:hAnsi="Cambria Math" w:cs="Cambria Math"/>
          <w:sz w:val="24"/>
          <w:szCs w:val="24"/>
        </w:rPr>
        <w:t>𝐹𝑇</w:t>
      </w:r>
      <w:r w:rsidRPr="003D2061">
        <w:rPr>
          <w:rFonts w:ascii="Calibri" w:hAnsi="Calibri" w:cs="Calibri"/>
          <w:sz w:val="24"/>
          <w:szCs w:val="24"/>
        </w:rPr>
        <w:t xml:space="preserve"> </w:t>
      </w:r>
      <w:r w:rsidRPr="003D2061">
        <w:rPr>
          <w:rFonts w:ascii="Cambria Math" w:hAnsi="Cambria Math" w:cs="Cambria Math"/>
          <w:sz w:val="24"/>
          <w:szCs w:val="24"/>
        </w:rPr>
        <w:t>𝑥</w:t>
      </w:r>
      <w:r w:rsidRPr="003D2061">
        <w:rPr>
          <w:rFonts w:ascii="Calibri" w:hAnsi="Calibri" w:cs="Calibri"/>
          <w:sz w:val="24"/>
          <w:szCs w:val="24"/>
        </w:rPr>
        <w:t xml:space="preserve"> 100</w:t>
      </w:r>
      <w:r w:rsidR="008B1BD8">
        <w:rPr>
          <w:rFonts w:ascii="Calibri" w:hAnsi="Calibri" w:cs="Calibri"/>
          <w:sz w:val="24"/>
          <w:szCs w:val="24"/>
        </w:rPr>
        <w:t>)</w:t>
      </w:r>
    </w:p>
    <w:p w14:paraId="02940134" w14:textId="77777777" w:rsidR="00377BFD" w:rsidRDefault="00377BFD" w:rsidP="001D31F7">
      <w:pPr>
        <w:spacing w:after="0" w:line="240" w:lineRule="auto"/>
        <w:jc w:val="both"/>
        <w:rPr>
          <w:rFonts w:ascii="Calibri" w:hAnsi="Calibri" w:cs="Calibri"/>
          <w:sz w:val="24"/>
          <w:szCs w:val="24"/>
        </w:rPr>
      </w:pPr>
    </w:p>
    <w:p w14:paraId="52D8CF6F" w14:textId="11234CD8" w:rsidR="00D228B9" w:rsidRPr="00D228B9" w:rsidRDefault="00D228B9" w:rsidP="00D228B9">
      <w:pPr>
        <w:spacing w:after="0" w:line="240" w:lineRule="auto"/>
        <w:jc w:val="both"/>
        <w:rPr>
          <w:rFonts w:ascii="Calibri" w:hAnsi="Calibri" w:cs="Calibri"/>
          <w:sz w:val="24"/>
          <w:szCs w:val="24"/>
        </w:rPr>
      </w:pPr>
      <w:r w:rsidRPr="00582AE0">
        <w:rPr>
          <w:rFonts w:ascii="Calibri" w:hAnsi="Calibri" w:cs="Calibri"/>
          <w:b/>
          <w:bCs/>
          <w:sz w:val="24"/>
          <w:szCs w:val="24"/>
        </w:rPr>
        <w:t>Población total (PT):</w:t>
      </w:r>
      <w:r w:rsidRPr="00D228B9">
        <w:rPr>
          <w:rFonts w:ascii="Calibri" w:hAnsi="Calibri" w:cs="Calibri"/>
          <w:sz w:val="24"/>
          <w:szCs w:val="24"/>
        </w:rPr>
        <w:t xml:space="preserve"> constituye la población civil no institucional residente en hogares</w:t>
      </w:r>
      <w:r w:rsidR="00582AE0">
        <w:rPr>
          <w:rFonts w:ascii="Calibri" w:hAnsi="Calibri" w:cs="Calibri"/>
          <w:sz w:val="24"/>
          <w:szCs w:val="24"/>
        </w:rPr>
        <w:t xml:space="preserve"> </w:t>
      </w:r>
      <w:r w:rsidRPr="00D228B9">
        <w:rPr>
          <w:rFonts w:ascii="Calibri" w:hAnsi="Calibri" w:cs="Calibri"/>
          <w:sz w:val="24"/>
          <w:szCs w:val="24"/>
        </w:rPr>
        <w:t>particulares. Esta población se estima con base en los censos de población, las estadísticas vitales</w:t>
      </w:r>
      <w:r w:rsidR="00582AE0">
        <w:rPr>
          <w:rFonts w:ascii="Calibri" w:hAnsi="Calibri" w:cs="Calibri"/>
          <w:sz w:val="24"/>
          <w:szCs w:val="24"/>
        </w:rPr>
        <w:t xml:space="preserve"> </w:t>
      </w:r>
      <w:r w:rsidRPr="00D228B9">
        <w:rPr>
          <w:rFonts w:ascii="Calibri" w:hAnsi="Calibri" w:cs="Calibri"/>
          <w:sz w:val="24"/>
          <w:szCs w:val="24"/>
        </w:rPr>
        <w:t>y de migración.</w:t>
      </w:r>
    </w:p>
    <w:p w14:paraId="62AF712C" w14:textId="77777777" w:rsidR="00582AE0" w:rsidRDefault="00582AE0" w:rsidP="00D228B9">
      <w:pPr>
        <w:spacing w:after="0" w:line="240" w:lineRule="auto"/>
        <w:jc w:val="both"/>
        <w:rPr>
          <w:rFonts w:ascii="Calibri" w:hAnsi="Calibri" w:cs="Calibri"/>
          <w:sz w:val="24"/>
          <w:szCs w:val="24"/>
        </w:rPr>
      </w:pPr>
    </w:p>
    <w:p w14:paraId="398C32BC" w14:textId="1C66643A" w:rsidR="00D228B9" w:rsidRDefault="00D228B9" w:rsidP="00D228B9">
      <w:pPr>
        <w:spacing w:after="0" w:line="240" w:lineRule="auto"/>
        <w:jc w:val="both"/>
        <w:rPr>
          <w:rFonts w:ascii="Calibri" w:hAnsi="Calibri" w:cs="Calibri"/>
          <w:sz w:val="24"/>
          <w:szCs w:val="24"/>
        </w:rPr>
      </w:pPr>
      <w:r w:rsidRPr="00582AE0">
        <w:rPr>
          <w:rFonts w:ascii="Calibri" w:hAnsi="Calibri" w:cs="Calibri"/>
          <w:b/>
          <w:bCs/>
          <w:sz w:val="24"/>
          <w:szCs w:val="24"/>
        </w:rPr>
        <w:t>Población en edad de trabajar (PET):</w:t>
      </w:r>
      <w:r w:rsidRPr="00D228B9">
        <w:rPr>
          <w:rFonts w:ascii="Calibri" w:hAnsi="Calibri" w:cs="Calibri"/>
          <w:sz w:val="24"/>
          <w:szCs w:val="24"/>
        </w:rPr>
        <w:t xml:space="preserve"> población constituida por todas las personas de 15 años</w:t>
      </w:r>
      <w:r w:rsidR="00582AE0">
        <w:rPr>
          <w:rFonts w:ascii="Calibri" w:hAnsi="Calibri" w:cs="Calibri"/>
          <w:sz w:val="24"/>
          <w:szCs w:val="24"/>
        </w:rPr>
        <w:t xml:space="preserve"> </w:t>
      </w:r>
      <w:r w:rsidRPr="00D228B9">
        <w:rPr>
          <w:rFonts w:ascii="Calibri" w:hAnsi="Calibri" w:cs="Calibri"/>
          <w:sz w:val="24"/>
          <w:szCs w:val="24"/>
        </w:rPr>
        <w:t>y más. Se divide en fuerza de trabajo y población fuera de la fuerza de trabajo.</w:t>
      </w:r>
    </w:p>
    <w:p w14:paraId="1E764A5A" w14:textId="77777777" w:rsidR="00582AE0" w:rsidRPr="00D228B9" w:rsidRDefault="00582AE0" w:rsidP="00D228B9">
      <w:pPr>
        <w:spacing w:after="0" w:line="240" w:lineRule="auto"/>
        <w:jc w:val="both"/>
        <w:rPr>
          <w:rFonts w:ascii="Calibri" w:hAnsi="Calibri" w:cs="Calibri"/>
          <w:sz w:val="24"/>
          <w:szCs w:val="24"/>
        </w:rPr>
      </w:pPr>
    </w:p>
    <w:p w14:paraId="0AF201E3" w14:textId="50F31D36" w:rsidR="00D228B9" w:rsidRDefault="00D228B9" w:rsidP="00D228B9">
      <w:pPr>
        <w:spacing w:after="0" w:line="240" w:lineRule="auto"/>
        <w:jc w:val="both"/>
        <w:rPr>
          <w:rFonts w:ascii="Calibri" w:hAnsi="Calibri" w:cs="Calibri"/>
          <w:sz w:val="24"/>
          <w:szCs w:val="24"/>
        </w:rPr>
      </w:pPr>
      <w:r w:rsidRPr="00582AE0">
        <w:rPr>
          <w:rFonts w:ascii="Calibri" w:hAnsi="Calibri" w:cs="Calibri"/>
          <w:b/>
          <w:bCs/>
          <w:sz w:val="24"/>
          <w:szCs w:val="24"/>
        </w:rPr>
        <w:t>Fuerza de trabajo (FT):</w:t>
      </w:r>
      <w:r w:rsidRPr="00D228B9">
        <w:rPr>
          <w:rFonts w:ascii="Calibri" w:hAnsi="Calibri" w:cs="Calibri"/>
          <w:sz w:val="24"/>
          <w:szCs w:val="24"/>
        </w:rPr>
        <w:t xml:space="preserve"> comprende a las personas en edad de trabajar que trabajan o están</w:t>
      </w:r>
      <w:r w:rsidR="00582AE0">
        <w:rPr>
          <w:rFonts w:ascii="Calibri" w:hAnsi="Calibri" w:cs="Calibri"/>
          <w:sz w:val="24"/>
          <w:szCs w:val="24"/>
        </w:rPr>
        <w:t xml:space="preserve"> </w:t>
      </w:r>
      <w:r w:rsidRPr="00D228B9">
        <w:rPr>
          <w:rFonts w:ascii="Calibri" w:hAnsi="Calibri" w:cs="Calibri"/>
          <w:sz w:val="24"/>
          <w:szCs w:val="24"/>
        </w:rPr>
        <w:t>buscando trabajo y están disponibles. Se divide en población ocupada y desocupada.</w:t>
      </w:r>
    </w:p>
    <w:p w14:paraId="3A6EDBD3" w14:textId="77777777" w:rsidR="00582AE0" w:rsidRPr="00D228B9" w:rsidRDefault="00582AE0" w:rsidP="00D228B9">
      <w:pPr>
        <w:spacing w:after="0" w:line="240" w:lineRule="auto"/>
        <w:jc w:val="both"/>
        <w:rPr>
          <w:rFonts w:ascii="Calibri" w:hAnsi="Calibri" w:cs="Calibri"/>
          <w:sz w:val="24"/>
          <w:szCs w:val="24"/>
        </w:rPr>
      </w:pPr>
    </w:p>
    <w:p w14:paraId="1706AC32" w14:textId="249F984F" w:rsidR="00D228B9" w:rsidRDefault="00D228B9" w:rsidP="00D228B9">
      <w:pPr>
        <w:spacing w:after="0" w:line="240" w:lineRule="auto"/>
        <w:jc w:val="both"/>
        <w:rPr>
          <w:rFonts w:ascii="Calibri" w:hAnsi="Calibri" w:cs="Calibri"/>
          <w:sz w:val="24"/>
          <w:szCs w:val="24"/>
        </w:rPr>
      </w:pPr>
      <w:r w:rsidRPr="00582AE0">
        <w:rPr>
          <w:rFonts w:ascii="Calibri" w:hAnsi="Calibri" w:cs="Calibri"/>
          <w:b/>
          <w:bCs/>
          <w:sz w:val="24"/>
          <w:szCs w:val="24"/>
        </w:rPr>
        <w:t>Población ocupada (</w:t>
      </w:r>
      <w:proofErr w:type="spellStart"/>
      <w:r w:rsidRPr="00582AE0">
        <w:rPr>
          <w:rFonts w:ascii="Calibri" w:hAnsi="Calibri" w:cs="Calibri"/>
          <w:b/>
          <w:bCs/>
          <w:sz w:val="24"/>
          <w:szCs w:val="24"/>
        </w:rPr>
        <w:t>OC</w:t>
      </w:r>
      <w:proofErr w:type="spellEnd"/>
      <w:r w:rsidRPr="00582AE0">
        <w:rPr>
          <w:rFonts w:ascii="Calibri" w:hAnsi="Calibri" w:cs="Calibri"/>
          <w:b/>
          <w:bCs/>
          <w:sz w:val="24"/>
          <w:szCs w:val="24"/>
        </w:rPr>
        <w:t>):</w:t>
      </w:r>
      <w:r w:rsidRPr="00D228B9">
        <w:rPr>
          <w:rFonts w:ascii="Calibri" w:hAnsi="Calibri" w:cs="Calibri"/>
          <w:sz w:val="24"/>
          <w:szCs w:val="24"/>
        </w:rPr>
        <w:t xml:space="preserve"> corresponde a las personas de 15 años y más que, durante el período</w:t>
      </w:r>
      <w:r w:rsidR="00582AE0">
        <w:rPr>
          <w:rFonts w:ascii="Calibri" w:hAnsi="Calibri" w:cs="Calibri"/>
          <w:sz w:val="24"/>
          <w:szCs w:val="24"/>
        </w:rPr>
        <w:t xml:space="preserve"> </w:t>
      </w:r>
      <w:r w:rsidRPr="00D228B9">
        <w:rPr>
          <w:rFonts w:ascii="Calibri" w:hAnsi="Calibri" w:cs="Calibri"/>
          <w:sz w:val="24"/>
          <w:szCs w:val="24"/>
        </w:rPr>
        <w:t>de referencia: trabajaron por lo menos una hora remunerada en la semana de referencia; no</w:t>
      </w:r>
      <w:r w:rsidR="00582AE0">
        <w:rPr>
          <w:rFonts w:ascii="Calibri" w:hAnsi="Calibri" w:cs="Calibri"/>
          <w:sz w:val="24"/>
          <w:szCs w:val="24"/>
        </w:rPr>
        <w:t xml:space="preserve"> </w:t>
      </w:r>
      <w:r w:rsidRPr="00D228B9">
        <w:rPr>
          <w:rFonts w:ascii="Calibri" w:hAnsi="Calibri" w:cs="Calibri"/>
          <w:sz w:val="24"/>
          <w:szCs w:val="24"/>
        </w:rPr>
        <w:t>trabajaron la semana de referencia, pero tenían un trabajo o negocio, y trabajaron en la semana</w:t>
      </w:r>
      <w:r w:rsidR="00582AE0">
        <w:rPr>
          <w:rFonts w:ascii="Calibri" w:hAnsi="Calibri" w:cs="Calibri"/>
          <w:sz w:val="24"/>
          <w:szCs w:val="24"/>
        </w:rPr>
        <w:t xml:space="preserve"> </w:t>
      </w:r>
      <w:r w:rsidRPr="00D228B9">
        <w:rPr>
          <w:rFonts w:ascii="Calibri" w:hAnsi="Calibri" w:cs="Calibri"/>
          <w:sz w:val="24"/>
          <w:szCs w:val="24"/>
        </w:rPr>
        <w:t>de referencia por lo menos una hora sin remuneración.</w:t>
      </w:r>
    </w:p>
    <w:p w14:paraId="1AA86367" w14:textId="77777777" w:rsidR="00D62747" w:rsidRDefault="00D62747" w:rsidP="001D31F7">
      <w:pPr>
        <w:spacing w:after="0" w:line="240" w:lineRule="auto"/>
        <w:jc w:val="both"/>
        <w:rPr>
          <w:rFonts w:ascii="Calibri" w:hAnsi="Calibri" w:cs="Calibri"/>
          <w:sz w:val="24"/>
          <w:szCs w:val="24"/>
        </w:rPr>
      </w:pPr>
    </w:p>
    <w:p w14:paraId="5C244376" w14:textId="763CFD73" w:rsidR="00240CAF" w:rsidRDefault="00582AE0" w:rsidP="00240CAF">
      <w:pPr>
        <w:spacing w:after="0" w:line="240" w:lineRule="auto"/>
        <w:jc w:val="both"/>
        <w:rPr>
          <w:rFonts w:ascii="Calibri" w:hAnsi="Calibri" w:cs="Calibri"/>
          <w:sz w:val="24"/>
          <w:szCs w:val="24"/>
        </w:rPr>
      </w:pPr>
      <w:r w:rsidRPr="00582AE0">
        <w:rPr>
          <w:rFonts w:ascii="Calibri" w:hAnsi="Calibri" w:cs="Calibri"/>
          <w:b/>
          <w:bCs/>
          <w:sz w:val="24"/>
          <w:szCs w:val="24"/>
        </w:rPr>
        <w:t>Población desocupada (</w:t>
      </w:r>
      <w:proofErr w:type="spellStart"/>
      <w:r w:rsidRPr="00582AE0">
        <w:rPr>
          <w:rFonts w:ascii="Calibri" w:hAnsi="Calibri" w:cs="Calibri"/>
          <w:b/>
          <w:bCs/>
          <w:sz w:val="24"/>
          <w:szCs w:val="24"/>
        </w:rPr>
        <w:t>DS</w:t>
      </w:r>
      <w:proofErr w:type="spellEnd"/>
      <w:r w:rsidRPr="00582AE0">
        <w:rPr>
          <w:rFonts w:ascii="Calibri" w:hAnsi="Calibri" w:cs="Calibri"/>
          <w:b/>
          <w:bCs/>
          <w:sz w:val="24"/>
          <w:szCs w:val="24"/>
        </w:rPr>
        <w:t>)</w:t>
      </w:r>
      <w:r w:rsidRPr="00582AE0">
        <w:rPr>
          <w:rFonts w:ascii="Calibri" w:hAnsi="Calibri" w:cs="Calibri"/>
          <w:sz w:val="24"/>
          <w:szCs w:val="24"/>
        </w:rPr>
        <w:t>: corresponde a las personas de 15 años y más que durante el período de referencia estuvieron simultáneamente: "sin empleo", es decir, que no tenían un empleo asalariado o un trabajo independiente ni se desempeñaron como trabajador(a) familiar sin remuneración; "buscando empleo", es decir que habían tomado medidas concretas para buscar un empleo asalariado o independiente en las últimas 4 semanas; y "actualmente disponibles para trabajar", es decir, disponibles para trabajar en empleo asalariado o en empleo independiente durante el período de referencia.</w:t>
      </w:r>
      <w:r w:rsidR="00240CAF">
        <w:rPr>
          <w:rFonts w:ascii="Calibri" w:hAnsi="Calibri" w:cs="Calibri"/>
          <w:sz w:val="24"/>
          <w:szCs w:val="24"/>
        </w:rPr>
        <w:br w:type="page"/>
      </w:r>
    </w:p>
    <w:p w14:paraId="33E49BD9" w14:textId="2B4CA3E7" w:rsidR="00582AE0" w:rsidRPr="00240CAF" w:rsidRDefault="00B22AA8" w:rsidP="001D31F7">
      <w:pPr>
        <w:spacing w:after="0" w:line="240" w:lineRule="auto"/>
        <w:jc w:val="both"/>
        <w:rPr>
          <w:rFonts w:ascii="Calibri" w:hAnsi="Calibri" w:cs="Calibri"/>
          <w:b/>
          <w:bCs/>
          <w:sz w:val="24"/>
          <w:szCs w:val="24"/>
        </w:rPr>
      </w:pPr>
      <w:r>
        <w:rPr>
          <w:rFonts w:ascii="Calibri" w:hAnsi="Calibri" w:cs="Calibri"/>
          <w:b/>
          <w:bCs/>
          <w:sz w:val="24"/>
          <w:szCs w:val="24"/>
        </w:rPr>
        <w:lastRenderedPageBreak/>
        <w:t>REFERENCIAS BIBLIOGRÁFICAS</w:t>
      </w:r>
    </w:p>
    <w:p w14:paraId="2E4872ED" w14:textId="77777777" w:rsidR="00240CAF" w:rsidRDefault="00240CAF" w:rsidP="001D31F7">
      <w:pPr>
        <w:spacing w:after="0" w:line="240" w:lineRule="auto"/>
        <w:jc w:val="both"/>
        <w:rPr>
          <w:rFonts w:ascii="Calibri" w:hAnsi="Calibri" w:cs="Calibri"/>
          <w:sz w:val="24"/>
          <w:szCs w:val="24"/>
        </w:rPr>
      </w:pPr>
    </w:p>
    <w:p w14:paraId="7E7CE974" w14:textId="77777777" w:rsidR="00CD3434" w:rsidRPr="00C36E4A" w:rsidRDefault="00CD3434">
      <w:pPr>
        <w:widowControl w:val="0"/>
        <w:autoSpaceDE w:val="0"/>
        <w:autoSpaceDN w:val="0"/>
        <w:adjustRightInd w:val="0"/>
        <w:spacing w:after="0" w:line="240" w:lineRule="auto"/>
        <w:rPr>
          <w:rFonts w:ascii="Calibri" w:hAnsi="Calibri" w:cs="Calibri"/>
        </w:rPr>
      </w:pPr>
    </w:p>
    <w:p w14:paraId="191514E8" w14:textId="1991BEE9" w:rsidR="00CD3434" w:rsidRPr="00C36E4A" w:rsidRDefault="00CD3434">
      <w:pPr>
        <w:widowControl w:val="0"/>
        <w:autoSpaceDE w:val="0"/>
        <w:autoSpaceDN w:val="0"/>
        <w:adjustRightInd w:val="0"/>
        <w:spacing w:after="140" w:line="288" w:lineRule="auto"/>
        <w:ind w:left="480" w:hanging="480"/>
        <w:rPr>
          <w:rFonts w:ascii="Calibri" w:hAnsi="Calibri" w:cs="Calibri"/>
        </w:rPr>
      </w:pPr>
      <w:r w:rsidRPr="00C36E4A">
        <w:rPr>
          <w:rFonts w:ascii="Calibri" w:hAnsi="Calibri" w:cs="Calibri"/>
        </w:rPr>
        <w:t xml:space="preserve">DANE. (2025). </w:t>
      </w:r>
      <w:r w:rsidRPr="00C36E4A">
        <w:rPr>
          <w:rFonts w:ascii="Calibri" w:hAnsi="Calibri" w:cs="Calibri"/>
          <w:i/>
          <w:iCs/>
        </w:rPr>
        <w:t>Mercado laboral por departamentos</w:t>
      </w:r>
      <w:r w:rsidRPr="00C36E4A">
        <w:rPr>
          <w:rFonts w:ascii="Calibri" w:hAnsi="Calibri" w:cs="Calibri"/>
        </w:rPr>
        <w:t xml:space="preserve">. </w:t>
      </w:r>
      <w:hyperlink r:id="rId18" w:history="1">
        <w:r w:rsidR="00C36E4A" w:rsidRPr="007D698D">
          <w:rPr>
            <w:rStyle w:val="Hipervnculo"/>
            <w:rFonts w:ascii="Calibri" w:hAnsi="Calibri" w:cs="Calibri"/>
          </w:rPr>
          <w:t>https://www.dane.gov.co/index.php/estadisticas-por-tema/mercado-laboral/mercado-laboral-por-departamentos</w:t>
        </w:r>
      </w:hyperlink>
      <w:r w:rsidR="00C36E4A">
        <w:rPr>
          <w:rFonts w:ascii="Calibri" w:hAnsi="Calibri" w:cs="Calibri"/>
        </w:rPr>
        <w:t xml:space="preserve"> </w:t>
      </w:r>
    </w:p>
    <w:p w14:paraId="045F5FFF" w14:textId="26D54DA3" w:rsidR="00240CAF" w:rsidRPr="001F1AE7" w:rsidRDefault="001F1AE7" w:rsidP="001F1AE7">
      <w:pPr>
        <w:widowControl w:val="0"/>
        <w:autoSpaceDE w:val="0"/>
        <w:autoSpaceDN w:val="0"/>
        <w:adjustRightInd w:val="0"/>
        <w:spacing w:after="140" w:line="288" w:lineRule="auto"/>
        <w:ind w:left="480" w:hanging="480"/>
        <w:rPr>
          <w:rFonts w:ascii="Calibri" w:hAnsi="Calibri" w:cs="Calibri"/>
        </w:rPr>
      </w:pPr>
      <w:r w:rsidRPr="00C36E4A">
        <w:rPr>
          <w:rFonts w:ascii="Calibri" w:hAnsi="Calibri" w:cs="Calibri"/>
        </w:rPr>
        <w:t xml:space="preserve">DANE. (2025). </w:t>
      </w:r>
      <w:r w:rsidRPr="001F1AE7">
        <w:rPr>
          <w:rFonts w:ascii="Calibri" w:hAnsi="Calibri" w:cs="Calibri"/>
          <w:i/>
          <w:iCs/>
        </w:rPr>
        <w:t>Mercado laboral por regiones</w:t>
      </w:r>
      <w:r w:rsidRPr="00C36E4A">
        <w:rPr>
          <w:rFonts w:ascii="Calibri" w:hAnsi="Calibri" w:cs="Calibri"/>
        </w:rPr>
        <w:t xml:space="preserve">. </w:t>
      </w:r>
      <w:hyperlink r:id="rId19" w:history="1">
        <w:r w:rsidRPr="001F1AE7">
          <w:rPr>
            <w:rStyle w:val="Hipervnculo"/>
            <w:rFonts w:ascii="Calibri" w:hAnsi="Calibri" w:cs="Calibri"/>
          </w:rPr>
          <w:t>https://www.dane.gov.co/index.php/estadisticas-por-tema/mercado-laboral/por-regiones</w:t>
        </w:r>
      </w:hyperlink>
      <w:r>
        <w:rPr>
          <w:rFonts w:ascii="Calibri" w:hAnsi="Calibri" w:cs="Calibri"/>
        </w:rPr>
        <w:t xml:space="preserve"> </w:t>
      </w:r>
      <w:r w:rsidR="00CD3434" w:rsidRPr="001F1AE7">
        <w:rPr>
          <w:rFonts w:ascii="Calibri" w:hAnsi="Calibri" w:cs="Calibri"/>
        </w:rPr>
        <w:fldChar w:fldCharType="begin" w:fldLock="1"/>
      </w:r>
      <w:r w:rsidR="00CD3434" w:rsidRPr="001F1AE7">
        <w:rPr>
          <w:rFonts w:ascii="Calibri" w:hAnsi="Calibri" w:cs="Calibri"/>
        </w:rPr>
        <w:instrText xml:space="preserve">ADDIN Mendeley Bibliography CSL_BIBLIOGRAPHY </w:instrText>
      </w:r>
      <w:r w:rsidR="00CD3434" w:rsidRPr="001F1AE7">
        <w:rPr>
          <w:rFonts w:ascii="Calibri" w:hAnsi="Calibri" w:cs="Calibri"/>
        </w:rPr>
        <w:fldChar w:fldCharType="separate"/>
      </w:r>
      <w:r w:rsidR="00CD3434" w:rsidRPr="001F1AE7">
        <w:rPr>
          <w:rFonts w:ascii="Calibri" w:hAnsi="Calibri" w:cs="Calibri"/>
        </w:rPr>
        <w:fldChar w:fldCharType="end"/>
      </w:r>
    </w:p>
    <w:p w14:paraId="09F04EB6" w14:textId="77777777" w:rsidR="00615D53" w:rsidRPr="001F1AE7" w:rsidRDefault="00615D53" w:rsidP="001F1AE7">
      <w:pPr>
        <w:widowControl w:val="0"/>
        <w:autoSpaceDE w:val="0"/>
        <w:autoSpaceDN w:val="0"/>
        <w:adjustRightInd w:val="0"/>
        <w:spacing w:after="140" w:line="288" w:lineRule="auto"/>
        <w:ind w:left="480" w:hanging="480"/>
        <w:rPr>
          <w:rFonts w:ascii="Calibri" w:hAnsi="Calibri" w:cs="Calibri"/>
        </w:rPr>
      </w:pPr>
    </w:p>
    <w:sectPr w:rsidR="00615D53" w:rsidRPr="001F1AE7" w:rsidSect="00037088">
      <w:headerReference w:type="default" r:id="rId20"/>
      <w:footerReference w:type="default" r:id="rId21"/>
      <w:pgSz w:w="11906" w:h="16838"/>
      <w:pgMar w:top="397" w:right="1418" w:bottom="1418" w:left="1418"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47FE" w14:textId="77777777" w:rsidR="005F39A8" w:rsidRDefault="005F39A8">
      <w:pPr>
        <w:spacing w:after="0" w:line="240" w:lineRule="auto"/>
      </w:pPr>
      <w:r>
        <w:separator/>
      </w:r>
    </w:p>
  </w:endnote>
  <w:endnote w:type="continuationSeparator" w:id="0">
    <w:p w14:paraId="22FAF9E2" w14:textId="77777777" w:rsidR="005F39A8" w:rsidRDefault="005F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DE68" w14:textId="77777777" w:rsidR="005B2816" w:rsidRDefault="005B2816"/>
  <w:tbl>
    <w:tblPr>
      <w:tblStyle w:val="a"/>
      <w:tblW w:w="10207"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7088"/>
      <w:gridCol w:w="3119"/>
    </w:tblGrid>
    <w:tr w:rsidR="005B2816" w14:paraId="540A5B96" w14:textId="77777777">
      <w:trPr>
        <w:trHeight w:val="836"/>
      </w:trPr>
      <w:tc>
        <w:tcPr>
          <w:tcW w:w="7088" w:type="dxa"/>
        </w:tcPr>
        <w:p w14:paraId="6EF9FDDE" w14:textId="77777777" w:rsidR="005B2816" w:rsidRDefault="009B1DBD">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Calle 4 Carrera 7 Esquina</w:t>
          </w:r>
        </w:p>
        <w:p w14:paraId="078D0F6F" w14:textId="77777777" w:rsidR="005B2816" w:rsidRDefault="009B1DBD">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Popayán-Cauca</w:t>
          </w:r>
        </w:p>
        <w:p w14:paraId="4995D5FD" w14:textId="77777777" w:rsidR="005B2816" w:rsidRDefault="009B1D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rPr>
            <w:t>splaneacion@cauca.gov.co</w:t>
          </w:r>
        </w:p>
      </w:tc>
      <w:tc>
        <w:tcPr>
          <w:tcW w:w="3119" w:type="dxa"/>
        </w:tcPr>
        <w:p w14:paraId="143F1B63" w14:textId="77777777" w:rsidR="005B2816" w:rsidRDefault="009B1DBD">
          <w:pPr>
            <w:pBdr>
              <w:top w:val="nil"/>
              <w:left w:val="nil"/>
              <w:bottom w:val="nil"/>
              <w:right w:val="nil"/>
              <w:between w:val="nil"/>
            </w:pBdr>
            <w:tabs>
              <w:tab w:val="center" w:pos="4252"/>
              <w:tab w:val="right" w:pos="8504"/>
            </w:tabs>
            <w:spacing w:after="0" w:line="240" w:lineRule="auto"/>
            <w:rPr>
              <w:rFonts w:ascii="Calibri" w:eastAsia="Calibri" w:hAnsi="Calibri" w:cs="Calibri"/>
              <w:i/>
              <w:color w:val="000000"/>
              <w:sz w:val="24"/>
              <w:szCs w:val="24"/>
            </w:rPr>
          </w:pPr>
          <w:r>
            <w:rPr>
              <w:noProof/>
            </w:rPr>
            <w:drawing>
              <wp:anchor distT="0" distB="0" distL="114300" distR="114300" simplePos="0" relativeHeight="251659264" behindDoc="0" locked="0" layoutInCell="1" hidden="0" allowOverlap="1" wp14:anchorId="50EC28AF" wp14:editId="0EE1AD66">
                <wp:simplePos x="0" y="0"/>
                <wp:positionH relativeFrom="column">
                  <wp:posOffset>560070</wp:posOffset>
                </wp:positionH>
                <wp:positionV relativeFrom="paragraph">
                  <wp:posOffset>115</wp:posOffset>
                </wp:positionV>
                <wp:extent cx="1318161" cy="612775"/>
                <wp:effectExtent l="0" t="0" r="0" b="0"/>
                <wp:wrapSquare wrapText="bothSides" distT="0" distB="0" distL="114300" distR="114300"/>
                <wp:docPr id="12926396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9193"/>
                        <a:stretch>
                          <a:fillRect/>
                        </a:stretch>
                      </pic:blipFill>
                      <pic:spPr>
                        <a:xfrm>
                          <a:off x="0" y="0"/>
                          <a:ext cx="1318161" cy="612775"/>
                        </a:xfrm>
                        <a:prstGeom prst="rect">
                          <a:avLst/>
                        </a:prstGeom>
                        <a:ln/>
                      </pic:spPr>
                    </pic:pic>
                  </a:graphicData>
                </a:graphic>
              </wp:anchor>
            </w:drawing>
          </w:r>
        </w:p>
      </w:tc>
    </w:tr>
  </w:tbl>
  <w:p w14:paraId="2C68734B" w14:textId="77777777" w:rsidR="005B2816" w:rsidRDefault="005B2816"/>
  <w:p w14:paraId="3E1BCA01" w14:textId="77777777" w:rsidR="005B2816" w:rsidRDefault="009B1DBD">
    <w:pPr>
      <w:pBdr>
        <w:top w:val="nil"/>
        <w:left w:val="nil"/>
        <w:bottom w:val="nil"/>
        <w:right w:val="nil"/>
        <w:between w:val="nil"/>
      </w:pBdr>
      <w:tabs>
        <w:tab w:val="center" w:pos="4252"/>
        <w:tab w:val="right" w:pos="8504"/>
      </w:tabs>
      <w:spacing w:after="0"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 xml:space="preserve">Página </w:t>
    </w:r>
    <w:r>
      <w:rPr>
        <w:rFonts w:ascii="Calibri" w:eastAsia="Calibri" w:hAnsi="Calibri" w:cs="Calibri"/>
        <w:i/>
        <w:color w:val="000000"/>
        <w:sz w:val="24"/>
        <w:szCs w:val="24"/>
      </w:rPr>
      <w:fldChar w:fldCharType="begin"/>
    </w:r>
    <w:r>
      <w:rPr>
        <w:rFonts w:ascii="Calibri" w:eastAsia="Calibri" w:hAnsi="Calibri" w:cs="Calibri"/>
        <w:i/>
        <w:color w:val="000000"/>
        <w:sz w:val="24"/>
        <w:szCs w:val="24"/>
      </w:rPr>
      <w:instrText>PAGE</w:instrText>
    </w:r>
    <w:r>
      <w:rPr>
        <w:rFonts w:ascii="Calibri" w:eastAsia="Calibri" w:hAnsi="Calibri" w:cs="Calibri"/>
        <w:i/>
        <w:color w:val="000000"/>
        <w:sz w:val="24"/>
        <w:szCs w:val="24"/>
      </w:rPr>
      <w:fldChar w:fldCharType="separate"/>
    </w:r>
    <w:r w:rsidR="00761C90">
      <w:rPr>
        <w:rFonts w:ascii="Calibri" w:eastAsia="Calibri" w:hAnsi="Calibri" w:cs="Calibri"/>
        <w:i/>
        <w:noProof/>
        <w:color w:val="000000"/>
        <w:sz w:val="24"/>
        <w:szCs w:val="24"/>
      </w:rPr>
      <w:t>1</w:t>
    </w:r>
    <w:r>
      <w:rPr>
        <w:rFonts w:ascii="Calibri" w:eastAsia="Calibri" w:hAnsi="Calibri" w:cs="Calibri"/>
        <w:i/>
        <w:color w:val="000000"/>
        <w:sz w:val="24"/>
        <w:szCs w:val="24"/>
      </w:rPr>
      <w:fldChar w:fldCharType="end"/>
    </w:r>
    <w:r>
      <w:rPr>
        <w:rFonts w:ascii="Calibri" w:eastAsia="Calibri" w:hAnsi="Calibri" w:cs="Calibri"/>
        <w:i/>
        <w:color w:val="000000"/>
        <w:sz w:val="24"/>
        <w:szCs w:val="24"/>
      </w:rPr>
      <w:t xml:space="preserve"> de </w:t>
    </w:r>
    <w:r>
      <w:rPr>
        <w:rFonts w:ascii="Calibri" w:eastAsia="Calibri" w:hAnsi="Calibri" w:cs="Calibri"/>
        <w:i/>
        <w:color w:val="000000"/>
        <w:sz w:val="24"/>
        <w:szCs w:val="24"/>
      </w:rPr>
      <w:fldChar w:fldCharType="begin"/>
    </w:r>
    <w:r>
      <w:rPr>
        <w:rFonts w:ascii="Calibri" w:eastAsia="Calibri" w:hAnsi="Calibri" w:cs="Calibri"/>
        <w:i/>
        <w:color w:val="000000"/>
        <w:sz w:val="24"/>
        <w:szCs w:val="24"/>
      </w:rPr>
      <w:instrText>NUMPAGES</w:instrText>
    </w:r>
    <w:r>
      <w:rPr>
        <w:rFonts w:ascii="Calibri" w:eastAsia="Calibri" w:hAnsi="Calibri" w:cs="Calibri"/>
        <w:i/>
        <w:color w:val="000000"/>
        <w:sz w:val="24"/>
        <w:szCs w:val="24"/>
      </w:rPr>
      <w:fldChar w:fldCharType="separate"/>
    </w:r>
    <w:r w:rsidR="00761C90">
      <w:rPr>
        <w:rFonts w:ascii="Calibri" w:eastAsia="Calibri" w:hAnsi="Calibri" w:cs="Calibri"/>
        <w:i/>
        <w:noProof/>
        <w:color w:val="000000"/>
        <w:sz w:val="24"/>
        <w:szCs w:val="24"/>
      </w:rPr>
      <w:t>1</w:t>
    </w:r>
    <w:r>
      <w:rPr>
        <w:rFonts w:ascii="Calibri" w:eastAsia="Calibri" w:hAnsi="Calibri" w:cs="Calibri"/>
        <w:i/>
        <w:color w:val="000000"/>
        <w:sz w:val="24"/>
        <w:szCs w:val="24"/>
      </w:rPr>
      <w:fldChar w:fldCharType="end"/>
    </w:r>
  </w:p>
  <w:p w14:paraId="4B216653" w14:textId="77777777" w:rsidR="005B2816" w:rsidRDefault="005B2816">
    <w:pPr>
      <w:pBdr>
        <w:top w:val="nil"/>
        <w:left w:val="nil"/>
        <w:bottom w:val="nil"/>
        <w:right w:val="nil"/>
        <w:between w:val="nil"/>
      </w:pBdr>
      <w:tabs>
        <w:tab w:val="center" w:pos="4252"/>
        <w:tab w:val="right" w:pos="8504"/>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9EC5" w14:textId="77777777" w:rsidR="005F39A8" w:rsidRDefault="005F39A8">
      <w:pPr>
        <w:spacing w:after="0" w:line="240" w:lineRule="auto"/>
      </w:pPr>
      <w:r>
        <w:separator/>
      </w:r>
    </w:p>
  </w:footnote>
  <w:footnote w:type="continuationSeparator" w:id="0">
    <w:p w14:paraId="172CD633" w14:textId="77777777" w:rsidR="005F39A8" w:rsidRDefault="005F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6477" w14:textId="77777777" w:rsidR="005B2816" w:rsidRDefault="009B1DBD">
    <w:pPr>
      <w:pBdr>
        <w:top w:val="nil"/>
        <w:left w:val="nil"/>
        <w:bottom w:val="nil"/>
        <w:right w:val="nil"/>
        <w:between w:val="nil"/>
      </w:pBdr>
      <w:tabs>
        <w:tab w:val="center" w:pos="4252"/>
        <w:tab w:val="right" w:pos="8504"/>
        <w:tab w:val="left" w:pos="3684"/>
      </w:tabs>
      <w:spacing w:after="0" w:line="240" w:lineRule="auto"/>
      <w:ind w:left="1843" w:hanging="1843"/>
      <w:jc w:val="center"/>
      <w:rPr>
        <w:color w:val="000000"/>
        <w:sz w:val="24"/>
        <w:szCs w:val="24"/>
      </w:rPr>
    </w:pPr>
    <w:r>
      <w:rPr>
        <w:noProof/>
        <w:color w:val="000000"/>
        <w:sz w:val="24"/>
        <w:szCs w:val="24"/>
      </w:rPr>
      <w:drawing>
        <wp:inline distT="0" distB="0" distL="0" distR="0" wp14:anchorId="78CE01C4" wp14:editId="1226AC86">
          <wp:extent cx="2294782" cy="646883"/>
          <wp:effectExtent l="0" t="0" r="0" b="0"/>
          <wp:docPr id="12926396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4782" cy="646883"/>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70B54EF1" wp14:editId="76A27194">
          <wp:simplePos x="0" y="0"/>
          <wp:positionH relativeFrom="column">
            <wp:posOffset>-1269999</wp:posOffset>
          </wp:positionH>
          <wp:positionV relativeFrom="paragraph">
            <wp:posOffset>-438149</wp:posOffset>
          </wp:positionV>
          <wp:extent cx="7811135" cy="45085"/>
          <wp:effectExtent l="0" t="0" r="0" b="0"/>
          <wp:wrapSquare wrapText="bothSides" distT="0" distB="0" distL="114300" distR="114300"/>
          <wp:docPr id="12926396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b="96150"/>
                  <a:stretch>
                    <a:fillRect/>
                  </a:stretch>
                </pic:blipFill>
                <pic:spPr>
                  <a:xfrm>
                    <a:off x="0" y="0"/>
                    <a:ext cx="7811135" cy="45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B5C62"/>
    <w:multiLevelType w:val="hybridMultilevel"/>
    <w:tmpl w:val="6896C5D8"/>
    <w:lvl w:ilvl="0" w:tplc="72A6AC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16F4733"/>
    <w:multiLevelType w:val="hybridMultilevel"/>
    <w:tmpl w:val="2DEAD682"/>
    <w:lvl w:ilvl="0" w:tplc="A8EE36F2">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DED74BD"/>
    <w:multiLevelType w:val="hybridMultilevel"/>
    <w:tmpl w:val="6DFCF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9CF53F8"/>
    <w:multiLevelType w:val="hybridMultilevel"/>
    <w:tmpl w:val="18F01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E96110C"/>
    <w:multiLevelType w:val="multilevel"/>
    <w:tmpl w:val="2FBCC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33339335">
    <w:abstractNumId w:val="0"/>
  </w:num>
  <w:num w:numId="2" w16cid:durableId="755715205">
    <w:abstractNumId w:val="1"/>
  </w:num>
  <w:num w:numId="3" w16cid:durableId="1625112399">
    <w:abstractNumId w:val="2"/>
  </w:num>
  <w:num w:numId="4" w16cid:durableId="839275618">
    <w:abstractNumId w:val="4"/>
  </w:num>
  <w:num w:numId="5" w16cid:durableId="200940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16"/>
    <w:rsid w:val="00037088"/>
    <w:rsid w:val="000520E3"/>
    <w:rsid w:val="000560F7"/>
    <w:rsid w:val="00056B35"/>
    <w:rsid w:val="000A3526"/>
    <w:rsid w:val="000A7CB2"/>
    <w:rsid w:val="000B48BF"/>
    <w:rsid w:val="000B7E94"/>
    <w:rsid w:val="000C1647"/>
    <w:rsid w:val="000D7F5F"/>
    <w:rsid w:val="000E4499"/>
    <w:rsid w:val="0010106F"/>
    <w:rsid w:val="001109C8"/>
    <w:rsid w:val="00116B96"/>
    <w:rsid w:val="001230ED"/>
    <w:rsid w:val="001278E5"/>
    <w:rsid w:val="00135029"/>
    <w:rsid w:val="001410A2"/>
    <w:rsid w:val="00156D51"/>
    <w:rsid w:val="00177375"/>
    <w:rsid w:val="001930C0"/>
    <w:rsid w:val="001A2B1C"/>
    <w:rsid w:val="001A5899"/>
    <w:rsid w:val="001B32A6"/>
    <w:rsid w:val="001B431A"/>
    <w:rsid w:val="001B784D"/>
    <w:rsid w:val="001C1631"/>
    <w:rsid w:val="001D31F7"/>
    <w:rsid w:val="001E6290"/>
    <w:rsid w:val="001F1179"/>
    <w:rsid w:val="001F1AE7"/>
    <w:rsid w:val="00200CC1"/>
    <w:rsid w:val="00203AEB"/>
    <w:rsid w:val="0021185C"/>
    <w:rsid w:val="002232C5"/>
    <w:rsid w:val="002255AB"/>
    <w:rsid w:val="0023513C"/>
    <w:rsid w:val="00240CAF"/>
    <w:rsid w:val="00295FA4"/>
    <w:rsid w:val="002A7CF6"/>
    <w:rsid w:val="002B05DC"/>
    <w:rsid w:val="002B5807"/>
    <w:rsid w:val="002C4C7D"/>
    <w:rsid w:val="002C7364"/>
    <w:rsid w:val="002D0EBD"/>
    <w:rsid w:val="002D2F1C"/>
    <w:rsid w:val="002F45B3"/>
    <w:rsid w:val="003113E3"/>
    <w:rsid w:val="00311E07"/>
    <w:rsid w:val="003451F6"/>
    <w:rsid w:val="00350B4C"/>
    <w:rsid w:val="00377BFD"/>
    <w:rsid w:val="00393EF6"/>
    <w:rsid w:val="003B0B04"/>
    <w:rsid w:val="003B3D1F"/>
    <w:rsid w:val="003B56A0"/>
    <w:rsid w:val="003B7578"/>
    <w:rsid w:val="003D2061"/>
    <w:rsid w:val="003E11CE"/>
    <w:rsid w:val="003E6A1F"/>
    <w:rsid w:val="003F64A3"/>
    <w:rsid w:val="003F67FE"/>
    <w:rsid w:val="00423B6C"/>
    <w:rsid w:val="00432FFC"/>
    <w:rsid w:val="004466FA"/>
    <w:rsid w:val="0045237A"/>
    <w:rsid w:val="004B58D6"/>
    <w:rsid w:val="004F2144"/>
    <w:rsid w:val="00522066"/>
    <w:rsid w:val="005542AA"/>
    <w:rsid w:val="00564162"/>
    <w:rsid w:val="00573F10"/>
    <w:rsid w:val="00574D1F"/>
    <w:rsid w:val="00582AE0"/>
    <w:rsid w:val="005A7DA6"/>
    <w:rsid w:val="005B2816"/>
    <w:rsid w:val="005C0A5E"/>
    <w:rsid w:val="005E3798"/>
    <w:rsid w:val="005F39A8"/>
    <w:rsid w:val="005F4E4C"/>
    <w:rsid w:val="00600ABB"/>
    <w:rsid w:val="0060531F"/>
    <w:rsid w:val="00610853"/>
    <w:rsid w:val="00615D53"/>
    <w:rsid w:val="00635B0B"/>
    <w:rsid w:val="0064793F"/>
    <w:rsid w:val="00651384"/>
    <w:rsid w:val="00695A2D"/>
    <w:rsid w:val="006969E9"/>
    <w:rsid w:val="006D3652"/>
    <w:rsid w:val="006D51C7"/>
    <w:rsid w:val="006E2C23"/>
    <w:rsid w:val="006F32B1"/>
    <w:rsid w:val="00716139"/>
    <w:rsid w:val="0074272D"/>
    <w:rsid w:val="007446D1"/>
    <w:rsid w:val="0074515D"/>
    <w:rsid w:val="007508BA"/>
    <w:rsid w:val="00761C90"/>
    <w:rsid w:val="00762630"/>
    <w:rsid w:val="007B7012"/>
    <w:rsid w:val="0080053F"/>
    <w:rsid w:val="008157F0"/>
    <w:rsid w:val="00820073"/>
    <w:rsid w:val="0082049F"/>
    <w:rsid w:val="00882C9B"/>
    <w:rsid w:val="008958E2"/>
    <w:rsid w:val="008A424F"/>
    <w:rsid w:val="008A7D55"/>
    <w:rsid w:val="008B1BD8"/>
    <w:rsid w:val="008B6A52"/>
    <w:rsid w:val="008D4F70"/>
    <w:rsid w:val="008E1D31"/>
    <w:rsid w:val="0093363D"/>
    <w:rsid w:val="00950BA9"/>
    <w:rsid w:val="00950C7B"/>
    <w:rsid w:val="009613FD"/>
    <w:rsid w:val="00983D6E"/>
    <w:rsid w:val="00984CDB"/>
    <w:rsid w:val="00991E9E"/>
    <w:rsid w:val="00995108"/>
    <w:rsid w:val="009A5BC3"/>
    <w:rsid w:val="009B1DBD"/>
    <w:rsid w:val="009B3C03"/>
    <w:rsid w:val="009C6215"/>
    <w:rsid w:val="009E0F87"/>
    <w:rsid w:val="009E7CEE"/>
    <w:rsid w:val="009F3956"/>
    <w:rsid w:val="00A509B4"/>
    <w:rsid w:val="00A54269"/>
    <w:rsid w:val="00A555F8"/>
    <w:rsid w:val="00A64E3E"/>
    <w:rsid w:val="00AA713C"/>
    <w:rsid w:val="00AB618C"/>
    <w:rsid w:val="00AE4B4A"/>
    <w:rsid w:val="00B14B4E"/>
    <w:rsid w:val="00B22AA8"/>
    <w:rsid w:val="00B23019"/>
    <w:rsid w:val="00B530FD"/>
    <w:rsid w:val="00B54799"/>
    <w:rsid w:val="00B952BE"/>
    <w:rsid w:val="00BE6CAE"/>
    <w:rsid w:val="00BF7419"/>
    <w:rsid w:val="00C36E4A"/>
    <w:rsid w:val="00C376BF"/>
    <w:rsid w:val="00C426F7"/>
    <w:rsid w:val="00C54977"/>
    <w:rsid w:val="00C713B5"/>
    <w:rsid w:val="00C87459"/>
    <w:rsid w:val="00C87FC1"/>
    <w:rsid w:val="00CB561C"/>
    <w:rsid w:val="00CD3434"/>
    <w:rsid w:val="00CD495E"/>
    <w:rsid w:val="00CD58C3"/>
    <w:rsid w:val="00CE19BF"/>
    <w:rsid w:val="00CE46BF"/>
    <w:rsid w:val="00CF3976"/>
    <w:rsid w:val="00D0757B"/>
    <w:rsid w:val="00D121BE"/>
    <w:rsid w:val="00D228B9"/>
    <w:rsid w:val="00D306B2"/>
    <w:rsid w:val="00D549AE"/>
    <w:rsid w:val="00D5665F"/>
    <w:rsid w:val="00D62747"/>
    <w:rsid w:val="00D9413C"/>
    <w:rsid w:val="00DA5907"/>
    <w:rsid w:val="00DE5A0F"/>
    <w:rsid w:val="00DE6E05"/>
    <w:rsid w:val="00DE6E12"/>
    <w:rsid w:val="00DF10D0"/>
    <w:rsid w:val="00E1084E"/>
    <w:rsid w:val="00E10A1A"/>
    <w:rsid w:val="00E14F85"/>
    <w:rsid w:val="00E246F7"/>
    <w:rsid w:val="00E64DB5"/>
    <w:rsid w:val="00E83248"/>
    <w:rsid w:val="00EA6573"/>
    <w:rsid w:val="00EC0C29"/>
    <w:rsid w:val="00EC3737"/>
    <w:rsid w:val="00F22056"/>
    <w:rsid w:val="00F257F1"/>
    <w:rsid w:val="00F31B1C"/>
    <w:rsid w:val="00F45283"/>
    <w:rsid w:val="00F539C0"/>
    <w:rsid w:val="00F56D5C"/>
    <w:rsid w:val="00F86DF4"/>
    <w:rsid w:val="00FC08F3"/>
    <w:rsid w:val="00FD5688"/>
    <w:rsid w:val="00FE12CB"/>
    <w:rsid w:val="00FE2018"/>
    <w:rsid w:val="00FF63E2"/>
    <w:rsid w:val="00FF6F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1ADB"/>
  <w15:docId w15:val="{FEEFBF84-0F71-407B-92E9-527FD55D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D51"/>
  </w:style>
  <w:style w:type="paragraph" w:styleId="Ttulo1">
    <w:name w:val="heading 1"/>
    <w:basedOn w:val="Normal"/>
    <w:next w:val="Normal"/>
    <w:link w:val="Ttulo1Car"/>
    <w:uiPriority w:val="9"/>
    <w:qFormat/>
    <w:rsid w:val="00907F9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
    </w:rPr>
  </w:style>
  <w:style w:type="paragraph" w:styleId="Ttulo2">
    <w:name w:val="heading 2"/>
    <w:basedOn w:val="Normal"/>
    <w:next w:val="Normal"/>
    <w:link w:val="Ttulo2Car"/>
    <w:uiPriority w:val="9"/>
    <w:semiHidden/>
    <w:unhideWhenUsed/>
    <w:qFormat/>
    <w:rsid w:val="0009683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
    </w:rPr>
  </w:style>
  <w:style w:type="paragraph" w:styleId="Ttulo3">
    <w:name w:val="heading 3"/>
    <w:basedOn w:val="Normal"/>
    <w:next w:val="Normal"/>
    <w:link w:val="Ttulo3Car"/>
    <w:uiPriority w:val="9"/>
    <w:semiHidden/>
    <w:unhideWhenUsed/>
    <w:qFormat/>
    <w:rsid w:val="0009683E"/>
    <w:pPr>
      <w:keepNext/>
      <w:keepLines/>
      <w:spacing w:before="160" w:after="80" w:line="240" w:lineRule="auto"/>
      <w:outlineLvl w:val="2"/>
    </w:pPr>
    <w:rPr>
      <w:rFonts w:eastAsiaTheme="majorEastAsia" w:cstheme="majorBidi"/>
      <w:color w:val="0F4761" w:themeColor="accent1" w:themeShade="BF"/>
      <w:kern w:val="2"/>
      <w:sz w:val="28"/>
      <w:szCs w:val="28"/>
      <w:lang w:val="es-ES"/>
    </w:rPr>
  </w:style>
  <w:style w:type="paragraph" w:styleId="Ttulo4">
    <w:name w:val="heading 4"/>
    <w:basedOn w:val="Normal"/>
    <w:next w:val="Normal"/>
    <w:link w:val="Ttulo4Car"/>
    <w:uiPriority w:val="9"/>
    <w:semiHidden/>
    <w:unhideWhenUsed/>
    <w:qFormat/>
    <w:rsid w:val="0009683E"/>
    <w:pPr>
      <w:keepNext/>
      <w:keepLines/>
      <w:spacing w:before="80" w:after="40" w:line="240" w:lineRule="auto"/>
      <w:outlineLvl w:val="3"/>
    </w:pPr>
    <w:rPr>
      <w:rFonts w:eastAsiaTheme="majorEastAsia" w:cstheme="majorBidi"/>
      <w:i/>
      <w:iCs/>
      <w:color w:val="0F4761" w:themeColor="accent1" w:themeShade="BF"/>
      <w:kern w:val="2"/>
      <w:sz w:val="24"/>
      <w:szCs w:val="24"/>
      <w:lang w:val="es-ES"/>
    </w:rPr>
  </w:style>
  <w:style w:type="paragraph" w:styleId="Ttulo5">
    <w:name w:val="heading 5"/>
    <w:basedOn w:val="Normal"/>
    <w:next w:val="Normal"/>
    <w:link w:val="Ttulo5Car"/>
    <w:uiPriority w:val="9"/>
    <w:semiHidden/>
    <w:unhideWhenUsed/>
    <w:qFormat/>
    <w:rsid w:val="0009683E"/>
    <w:pPr>
      <w:keepNext/>
      <w:keepLines/>
      <w:spacing w:before="80" w:after="40" w:line="240" w:lineRule="auto"/>
      <w:outlineLvl w:val="4"/>
    </w:pPr>
    <w:rPr>
      <w:rFonts w:eastAsiaTheme="majorEastAsia" w:cstheme="majorBidi"/>
      <w:color w:val="0F4761" w:themeColor="accent1" w:themeShade="BF"/>
      <w:kern w:val="2"/>
      <w:sz w:val="24"/>
      <w:szCs w:val="24"/>
      <w:lang w:val="es-ES"/>
    </w:rPr>
  </w:style>
  <w:style w:type="paragraph" w:styleId="Ttulo6">
    <w:name w:val="heading 6"/>
    <w:basedOn w:val="Normal"/>
    <w:next w:val="Normal"/>
    <w:link w:val="Ttulo6Car"/>
    <w:uiPriority w:val="9"/>
    <w:semiHidden/>
    <w:unhideWhenUsed/>
    <w:qFormat/>
    <w:rsid w:val="0009683E"/>
    <w:pPr>
      <w:keepNext/>
      <w:keepLines/>
      <w:spacing w:before="40" w:after="0" w:line="240" w:lineRule="auto"/>
      <w:outlineLvl w:val="5"/>
    </w:pPr>
    <w:rPr>
      <w:rFonts w:eastAsiaTheme="majorEastAsia" w:cstheme="majorBidi"/>
      <w:i/>
      <w:iCs/>
      <w:color w:val="595959" w:themeColor="text1" w:themeTint="A6"/>
      <w:kern w:val="2"/>
      <w:sz w:val="24"/>
      <w:szCs w:val="24"/>
      <w:lang w:val="es-ES"/>
    </w:rPr>
  </w:style>
  <w:style w:type="paragraph" w:styleId="Ttulo7">
    <w:name w:val="heading 7"/>
    <w:basedOn w:val="Normal"/>
    <w:next w:val="Normal"/>
    <w:link w:val="Ttulo7Car"/>
    <w:uiPriority w:val="9"/>
    <w:semiHidden/>
    <w:unhideWhenUsed/>
    <w:qFormat/>
    <w:rsid w:val="0009683E"/>
    <w:pPr>
      <w:keepNext/>
      <w:keepLines/>
      <w:spacing w:before="40" w:after="0" w:line="240" w:lineRule="auto"/>
      <w:outlineLvl w:val="6"/>
    </w:pPr>
    <w:rPr>
      <w:rFonts w:eastAsiaTheme="majorEastAsia" w:cstheme="majorBidi"/>
      <w:color w:val="595959" w:themeColor="text1" w:themeTint="A6"/>
      <w:kern w:val="2"/>
      <w:sz w:val="24"/>
      <w:szCs w:val="24"/>
      <w:lang w:val="es-ES"/>
    </w:rPr>
  </w:style>
  <w:style w:type="paragraph" w:styleId="Ttulo8">
    <w:name w:val="heading 8"/>
    <w:basedOn w:val="Normal"/>
    <w:next w:val="Normal"/>
    <w:link w:val="Ttulo8Car"/>
    <w:uiPriority w:val="9"/>
    <w:semiHidden/>
    <w:unhideWhenUsed/>
    <w:qFormat/>
    <w:rsid w:val="0009683E"/>
    <w:pPr>
      <w:keepNext/>
      <w:keepLines/>
      <w:spacing w:after="0" w:line="240" w:lineRule="auto"/>
      <w:outlineLvl w:val="7"/>
    </w:pPr>
    <w:rPr>
      <w:rFonts w:eastAsiaTheme="majorEastAsia" w:cstheme="majorBidi"/>
      <w:i/>
      <w:iCs/>
      <w:color w:val="272727" w:themeColor="text1" w:themeTint="D8"/>
      <w:kern w:val="2"/>
      <w:sz w:val="24"/>
      <w:szCs w:val="24"/>
      <w:lang w:val="es-ES"/>
    </w:rPr>
  </w:style>
  <w:style w:type="paragraph" w:styleId="Ttulo9">
    <w:name w:val="heading 9"/>
    <w:basedOn w:val="Normal"/>
    <w:next w:val="Normal"/>
    <w:link w:val="Ttulo9Car"/>
    <w:uiPriority w:val="9"/>
    <w:semiHidden/>
    <w:unhideWhenUsed/>
    <w:qFormat/>
    <w:rsid w:val="0009683E"/>
    <w:pPr>
      <w:keepNext/>
      <w:keepLines/>
      <w:spacing w:after="0" w:line="240" w:lineRule="auto"/>
      <w:outlineLvl w:val="8"/>
    </w:pPr>
    <w:rPr>
      <w:rFonts w:eastAsiaTheme="majorEastAsia" w:cstheme="majorBidi"/>
      <w:color w:val="272727" w:themeColor="text1" w:themeTint="D8"/>
      <w:kern w:val="2"/>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9683E"/>
    <w:pPr>
      <w:spacing w:after="8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1Car">
    <w:name w:val="Título 1 Car"/>
    <w:basedOn w:val="Fuentedeprrafopredeter"/>
    <w:link w:val="Ttulo1"/>
    <w:uiPriority w:val="9"/>
    <w:rsid w:val="00907F9E"/>
    <w:rPr>
      <w:rFonts w:asciiTheme="majorHAnsi" w:eastAsiaTheme="majorEastAsia" w:hAnsiTheme="majorHAnsi" w:cstheme="majorBidi"/>
      <w:color w:val="0F4761" w:themeColor="accent1" w:themeShade="BF"/>
      <w:sz w:val="40"/>
      <w:szCs w:val="40"/>
    </w:rPr>
  </w:style>
  <w:style w:type="paragraph" w:styleId="TtuloTDC">
    <w:name w:val="TOC Heading"/>
    <w:aliases w:val="capitulo"/>
    <w:basedOn w:val="Ttulo1"/>
    <w:next w:val="Normal"/>
    <w:uiPriority w:val="39"/>
    <w:unhideWhenUsed/>
    <w:qFormat/>
    <w:rsid w:val="00907F9E"/>
    <w:pPr>
      <w:spacing w:before="240" w:after="0" w:line="259" w:lineRule="auto"/>
      <w:jc w:val="center"/>
      <w:outlineLvl w:val="9"/>
    </w:pPr>
    <w:rPr>
      <w:rFonts w:ascii="Times New Roman" w:hAnsi="Times New Roman"/>
      <w:b/>
      <w:color w:val="000000" w:themeColor="text1"/>
      <w:kern w:val="0"/>
      <w:sz w:val="28"/>
      <w:szCs w:val="32"/>
      <w:lang w:val="es-CO"/>
    </w:rPr>
  </w:style>
  <w:style w:type="character" w:styleId="Ttulodellibro">
    <w:name w:val="Book Title"/>
    <w:basedOn w:val="Fuentedeprrafopredeter"/>
    <w:uiPriority w:val="33"/>
    <w:qFormat/>
    <w:rsid w:val="00907F9E"/>
    <w:rPr>
      <w:b/>
      <w:bCs/>
      <w:i/>
      <w:iCs/>
      <w:spacing w:val="5"/>
    </w:rPr>
  </w:style>
  <w:style w:type="paragraph" w:styleId="Prrafodelista">
    <w:name w:val="List Paragraph"/>
    <w:aliases w:val="subtitulo capitulo"/>
    <w:basedOn w:val="Normal"/>
    <w:uiPriority w:val="34"/>
    <w:qFormat/>
    <w:rsid w:val="00907F9E"/>
    <w:pPr>
      <w:spacing w:after="160" w:line="240" w:lineRule="auto"/>
      <w:contextualSpacing/>
    </w:pPr>
    <w:rPr>
      <w:rFonts w:ascii="Times New Roman" w:hAnsi="Times New Roman"/>
      <w:b/>
      <w:color w:val="000000" w:themeColor="text1"/>
      <w:sz w:val="24"/>
      <w:szCs w:val="24"/>
      <w:lang w:eastAsia="es-ES_tradnl"/>
    </w:rPr>
  </w:style>
  <w:style w:type="paragraph" w:styleId="Descripcin">
    <w:name w:val="caption"/>
    <w:aliases w:val="texto general"/>
    <w:basedOn w:val="Normal"/>
    <w:next w:val="Normal"/>
    <w:uiPriority w:val="35"/>
    <w:unhideWhenUsed/>
    <w:qFormat/>
    <w:rsid w:val="00907F9E"/>
    <w:pPr>
      <w:spacing w:line="240" w:lineRule="auto"/>
      <w:jc w:val="both"/>
    </w:pPr>
    <w:rPr>
      <w:rFonts w:ascii="Times New Roman" w:hAnsi="Times New Roman"/>
      <w:iCs/>
      <w:color w:val="000000" w:themeColor="text1"/>
      <w:szCs w:val="18"/>
      <w:lang w:eastAsia="es-ES_tradnl"/>
    </w:rPr>
  </w:style>
  <w:style w:type="character" w:customStyle="1" w:styleId="Ttulo2Car">
    <w:name w:val="Título 2 Car"/>
    <w:basedOn w:val="Fuentedeprrafopredeter"/>
    <w:link w:val="Ttulo2"/>
    <w:uiPriority w:val="9"/>
    <w:semiHidden/>
    <w:rsid w:val="000968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68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68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68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68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68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68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683E"/>
    <w:rPr>
      <w:rFonts w:eastAsiaTheme="majorEastAsia" w:cstheme="majorBidi"/>
      <w:color w:val="272727" w:themeColor="text1" w:themeTint="D8"/>
    </w:rPr>
  </w:style>
  <w:style w:type="character" w:customStyle="1" w:styleId="TtuloCar">
    <w:name w:val="Título Car"/>
    <w:basedOn w:val="Fuentedeprrafopredeter"/>
    <w:link w:val="Ttulo"/>
    <w:uiPriority w:val="10"/>
    <w:rsid w:val="000968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pPr>
      <w:spacing w:after="160" w:line="240" w:lineRule="auto"/>
    </w:pPr>
    <w:rPr>
      <w:color w:val="595959"/>
      <w:sz w:val="28"/>
      <w:szCs w:val="28"/>
    </w:rPr>
  </w:style>
  <w:style w:type="character" w:customStyle="1" w:styleId="SubttuloCar">
    <w:name w:val="Subtítulo Car"/>
    <w:basedOn w:val="Fuentedeprrafopredeter"/>
    <w:link w:val="Subttulo"/>
    <w:uiPriority w:val="11"/>
    <w:rsid w:val="000968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683E"/>
    <w:pPr>
      <w:spacing w:before="160" w:after="160" w:line="240" w:lineRule="auto"/>
      <w:jc w:val="center"/>
    </w:pPr>
    <w:rPr>
      <w:i/>
      <w:iCs/>
      <w:color w:val="404040" w:themeColor="text1" w:themeTint="BF"/>
      <w:kern w:val="2"/>
      <w:sz w:val="24"/>
      <w:szCs w:val="24"/>
      <w:lang w:val="es-ES"/>
    </w:rPr>
  </w:style>
  <w:style w:type="character" w:customStyle="1" w:styleId="CitaCar">
    <w:name w:val="Cita Car"/>
    <w:basedOn w:val="Fuentedeprrafopredeter"/>
    <w:link w:val="Cita"/>
    <w:uiPriority w:val="29"/>
    <w:rsid w:val="0009683E"/>
    <w:rPr>
      <w:i/>
      <w:iCs/>
      <w:color w:val="404040" w:themeColor="text1" w:themeTint="BF"/>
    </w:rPr>
  </w:style>
  <w:style w:type="character" w:styleId="nfasisintenso">
    <w:name w:val="Intense Emphasis"/>
    <w:basedOn w:val="Fuentedeprrafopredeter"/>
    <w:uiPriority w:val="21"/>
    <w:qFormat/>
    <w:rsid w:val="0009683E"/>
    <w:rPr>
      <w:i/>
      <w:iCs/>
      <w:color w:val="0F4761" w:themeColor="accent1" w:themeShade="BF"/>
    </w:rPr>
  </w:style>
  <w:style w:type="paragraph" w:styleId="Citadestacada">
    <w:name w:val="Intense Quote"/>
    <w:basedOn w:val="Normal"/>
    <w:next w:val="Normal"/>
    <w:link w:val="CitadestacadaCar"/>
    <w:uiPriority w:val="30"/>
    <w:qFormat/>
    <w:rsid w:val="0009683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
    </w:rPr>
  </w:style>
  <w:style w:type="character" w:customStyle="1" w:styleId="CitadestacadaCar">
    <w:name w:val="Cita destacada Car"/>
    <w:basedOn w:val="Fuentedeprrafopredeter"/>
    <w:link w:val="Citadestacada"/>
    <w:uiPriority w:val="30"/>
    <w:rsid w:val="0009683E"/>
    <w:rPr>
      <w:i/>
      <w:iCs/>
      <w:color w:val="0F4761" w:themeColor="accent1" w:themeShade="BF"/>
    </w:rPr>
  </w:style>
  <w:style w:type="character" w:styleId="Referenciaintensa">
    <w:name w:val="Intense Reference"/>
    <w:basedOn w:val="Fuentedeprrafopredeter"/>
    <w:uiPriority w:val="32"/>
    <w:qFormat/>
    <w:rsid w:val="0009683E"/>
    <w:rPr>
      <w:b/>
      <w:bCs/>
      <w:smallCaps/>
      <w:color w:val="0F4761" w:themeColor="accent1" w:themeShade="BF"/>
      <w:spacing w:val="5"/>
    </w:rPr>
  </w:style>
  <w:style w:type="paragraph" w:styleId="Encabezado">
    <w:name w:val="header"/>
    <w:basedOn w:val="Normal"/>
    <w:link w:val="EncabezadoCar"/>
    <w:uiPriority w:val="99"/>
    <w:unhideWhenUsed/>
    <w:rsid w:val="0009683E"/>
    <w:pPr>
      <w:tabs>
        <w:tab w:val="center" w:pos="4252"/>
        <w:tab w:val="right" w:pos="8504"/>
      </w:tabs>
      <w:spacing w:after="0" w:line="240" w:lineRule="auto"/>
    </w:pPr>
    <w:rPr>
      <w:kern w:val="2"/>
      <w:sz w:val="24"/>
      <w:szCs w:val="24"/>
      <w:lang w:val="es-ES"/>
    </w:rPr>
  </w:style>
  <w:style w:type="character" w:customStyle="1" w:styleId="EncabezadoCar">
    <w:name w:val="Encabezado Car"/>
    <w:basedOn w:val="Fuentedeprrafopredeter"/>
    <w:link w:val="Encabezado"/>
    <w:uiPriority w:val="99"/>
    <w:rsid w:val="0009683E"/>
  </w:style>
  <w:style w:type="paragraph" w:styleId="Piedepgina">
    <w:name w:val="footer"/>
    <w:basedOn w:val="Normal"/>
    <w:link w:val="PiedepginaCar"/>
    <w:uiPriority w:val="99"/>
    <w:unhideWhenUsed/>
    <w:rsid w:val="0009683E"/>
    <w:pPr>
      <w:tabs>
        <w:tab w:val="center" w:pos="4252"/>
        <w:tab w:val="right" w:pos="8504"/>
      </w:tabs>
      <w:spacing w:after="0" w:line="240" w:lineRule="auto"/>
    </w:pPr>
    <w:rPr>
      <w:kern w:val="2"/>
      <w:sz w:val="24"/>
      <w:szCs w:val="24"/>
      <w:lang w:val="es-ES"/>
    </w:rPr>
  </w:style>
  <w:style w:type="character" w:customStyle="1" w:styleId="PiedepginaCar">
    <w:name w:val="Pie de página Car"/>
    <w:basedOn w:val="Fuentedeprrafopredeter"/>
    <w:link w:val="Piedepgina"/>
    <w:uiPriority w:val="99"/>
    <w:rsid w:val="0009683E"/>
  </w:style>
  <w:style w:type="table" w:styleId="Tablaconcuadrcula">
    <w:name w:val="Table Grid"/>
    <w:basedOn w:val="Tablanormal"/>
    <w:uiPriority w:val="39"/>
    <w:rsid w:val="0009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939C5"/>
    <w:rPr>
      <w:color w:val="0000FF"/>
      <w:u w:val="single"/>
    </w:rPr>
  </w:style>
  <w:style w:type="character" w:styleId="Hipervnculovisitado">
    <w:name w:val="FollowedHyperlink"/>
    <w:basedOn w:val="Fuentedeprrafopredeter"/>
    <w:uiPriority w:val="99"/>
    <w:semiHidden/>
    <w:unhideWhenUsed/>
    <w:rsid w:val="005939C5"/>
    <w:rPr>
      <w:color w:val="96607D" w:themeColor="followedHyperlink"/>
      <w:u w:val="single"/>
    </w:rPr>
  </w:style>
  <w:style w:type="paragraph" w:styleId="NormalWeb">
    <w:name w:val="Normal (Web)"/>
    <w:basedOn w:val="Normal"/>
    <w:uiPriority w:val="99"/>
    <w:unhideWhenUsed/>
    <w:rsid w:val="005939C5"/>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customStyle="1" w:styleId="Default">
    <w:name w:val="Default"/>
    <w:rsid w:val="0074020B"/>
    <w:pPr>
      <w:autoSpaceDE w:val="0"/>
      <w:autoSpaceDN w:val="0"/>
      <w:adjustRightInd w:val="0"/>
    </w:pPr>
    <w:rPr>
      <w:rFonts w:ascii="Century Gothic" w:eastAsia="Calibri" w:hAnsi="Century Gothic" w:cs="Century Gothic"/>
      <w:color w:val="000000"/>
      <w:lang w:eastAsia="es-ES"/>
    </w:rPr>
  </w:style>
  <w:style w:type="table" w:customStyle="1" w:styleId="a">
    <w:basedOn w:val="TableNormal"/>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3113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13E3"/>
    <w:rPr>
      <w:sz w:val="20"/>
      <w:szCs w:val="20"/>
    </w:rPr>
  </w:style>
  <w:style w:type="character" w:styleId="Refdenotaalpie">
    <w:name w:val="footnote reference"/>
    <w:basedOn w:val="Fuentedeprrafopredeter"/>
    <w:uiPriority w:val="99"/>
    <w:semiHidden/>
    <w:unhideWhenUsed/>
    <w:rsid w:val="003113E3"/>
    <w:rPr>
      <w:vertAlign w:val="superscript"/>
    </w:rPr>
  </w:style>
  <w:style w:type="character" w:styleId="Mencinsinresolver">
    <w:name w:val="Unresolved Mention"/>
    <w:basedOn w:val="Fuentedeprrafopredeter"/>
    <w:uiPriority w:val="99"/>
    <w:semiHidden/>
    <w:unhideWhenUsed/>
    <w:rsid w:val="00C36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9074">
      <w:bodyDiv w:val="1"/>
      <w:marLeft w:val="0"/>
      <w:marRight w:val="0"/>
      <w:marTop w:val="0"/>
      <w:marBottom w:val="0"/>
      <w:divBdr>
        <w:top w:val="none" w:sz="0" w:space="0" w:color="auto"/>
        <w:left w:val="none" w:sz="0" w:space="0" w:color="auto"/>
        <w:bottom w:val="none" w:sz="0" w:space="0" w:color="auto"/>
        <w:right w:val="none" w:sz="0" w:space="0" w:color="auto"/>
      </w:divBdr>
    </w:div>
    <w:div w:id="605508052">
      <w:bodyDiv w:val="1"/>
      <w:marLeft w:val="0"/>
      <w:marRight w:val="0"/>
      <w:marTop w:val="0"/>
      <w:marBottom w:val="0"/>
      <w:divBdr>
        <w:top w:val="none" w:sz="0" w:space="0" w:color="auto"/>
        <w:left w:val="none" w:sz="0" w:space="0" w:color="auto"/>
        <w:bottom w:val="none" w:sz="0" w:space="0" w:color="auto"/>
        <w:right w:val="none" w:sz="0" w:space="0" w:color="auto"/>
      </w:divBdr>
    </w:div>
    <w:div w:id="652022729">
      <w:bodyDiv w:val="1"/>
      <w:marLeft w:val="0"/>
      <w:marRight w:val="0"/>
      <w:marTop w:val="0"/>
      <w:marBottom w:val="0"/>
      <w:divBdr>
        <w:top w:val="none" w:sz="0" w:space="0" w:color="auto"/>
        <w:left w:val="none" w:sz="0" w:space="0" w:color="auto"/>
        <w:bottom w:val="none" w:sz="0" w:space="0" w:color="auto"/>
        <w:right w:val="none" w:sz="0" w:space="0" w:color="auto"/>
      </w:divBdr>
    </w:div>
    <w:div w:id="815757555">
      <w:bodyDiv w:val="1"/>
      <w:marLeft w:val="0"/>
      <w:marRight w:val="0"/>
      <w:marTop w:val="0"/>
      <w:marBottom w:val="0"/>
      <w:divBdr>
        <w:top w:val="none" w:sz="0" w:space="0" w:color="auto"/>
        <w:left w:val="none" w:sz="0" w:space="0" w:color="auto"/>
        <w:bottom w:val="none" w:sz="0" w:space="0" w:color="auto"/>
        <w:right w:val="none" w:sz="0" w:space="0" w:color="auto"/>
      </w:divBdr>
    </w:div>
    <w:div w:id="1080296202">
      <w:bodyDiv w:val="1"/>
      <w:marLeft w:val="0"/>
      <w:marRight w:val="0"/>
      <w:marTop w:val="0"/>
      <w:marBottom w:val="0"/>
      <w:divBdr>
        <w:top w:val="none" w:sz="0" w:space="0" w:color="auto"/>
        <w:left w:val="none" w:sz="0" w:space="0" w:color="auto"/>
        <w:bottom w:val="none" w:sz="0" w:space="0" w:color="auto"/>
        <w:right w:val="none" w:sz="0" w:space="0" w:color="auto"/>
      </w:divBdr>
    </w:div>
    <w:div w:id="1087724372">
      <w:bodyDiv w:val="1"/>
      <w:marLeft w:val="0"/>
      <w:marRight w:val="0"/>
      <w:marTop w:val="0"/>
      <w:marBottom w:val="0"/>
      <w:divBdr>
        <w:top w:val="none" w:sz="0" w:space="0" w:color="auto"/>
        <w:left w:val="none" w:sz="0" w:space="0" w:color="auto"/>
        <w:bottom w:val="none" w:sz="0" w:space="0" w:color="auto"/>
        <w:right w:val="none" w:sz="0" w:space="0" w:color="auto"/>
      </w:divBdr>
    </w:div>
    <w:div w:id="1206143589">
      <w:bodyDiv w:val="1"/>
      <w:marLeft w:val="0"/>
      <w:marRight w:val="0"/>
      <w:marTop w:val="0"/>
      <w:marBottom w:val="0"/>
      <w:divBdr>
        <w:top w:val="none" w:sz="0" w:space="0" w:color="auto"/>
        <w:left w:val="none" w:sz="0" w:space="0" w:color="auto"/>
        <w:bottom w:val="none" w:sz="0" w:space="0" w:color="auto"/>
        <w:right w:val="none" w:sz="0" w:space="0" w:color="auto"/>
      </w:divBdr>
    </w:div>
    <w:div w:id="1295256836">
      <w:bodyDiv w:val="1"/>
      <w:marLeft w:val="0"/>
      <w:marRight w:val="0"/>
      <w:marTop w:val="0"/>
      <w:marBottom w:val="0"/>
      <w:divBdr>
        <w:top w:val="none" w:sz="0" w:space="0" w:color="auto"/>
        <w:left w:val="none" w:sz="0" w:space="0" w:color="auto"/>
        <w:bottom w:val="none" w:sz="0" w:space="0" w:color="auto"/>
        <w:right w:val="none" w:sz="0" w:space="0" w:color="auto"/>
      </w:divBdr>
    </w:div>
    <w:div w:id="2061898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dane.gov.co/index.php/estadisticas-por-tema/mercado-laboral/mercado-laboral-por-departamento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dane.gov.co/index.php/estadisticas-por-tema/mercado-laboral/por-regio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FR+UrJvuGDjhkFaplcBg5ZKDg==">CgMxLjA4AHIhMUZ5bEhDNFpFU1R1VkVOOHhnQ2ROakNrYjByb2liTFds</go:docsCustomData>
</go:gDocsCustomXmlDataStorage>
</file>

<file path=customXml/itemProps1.xml><?xml version="1.0" encoding="utf-8"?>
<ds:datastoreItem xmlns:ds="http://schemas.openxmlformats.org/officeDocument/2006/customXml" ds:itemID="{4A411BF2-8BDA-4769-95FB-9974BD928F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12</Pages>
  <Words>2512</Words>
  <Characters>13818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LANDY VIVIANA BEDOYA DIAZ</dc:creator>
  <cp:lastModifiedBy>Carmen Yaneth P.</cp:lastModifiedBy>
  <cp:revision>210</cp:revision>
  <dcterms:created xsi:type="dcterms:W3CDTF">2024-08-12T20:52:00Z</dcterms:created>
  <dcterms:modified xsi:type="dcterms:W3CDTF">2025-06-05T21:03:00Z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1c5ba525-903b-3408-b6dc-2396881f5fbb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